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MESZAROS</w:t>
            </w:r>
          </w:p>
          <w:p w:rsidR="00C275A3" w:rsidRDefault="00A96AEC" w:rsidP="00C275A3">
            <w:pPr>
              <w:pStyle w:val="Hallgatokepzes"/>
            </w:pPr>
            <w:r>
              <w:t>International relations</w:t>
            </w:r>
            <w:r>
              <w:br/>
            </w:r>
            <w:r w:rsidR="00E77B23">
              <w:t>MSc, 6. semester</w:t>
            </w:r>
          </w:p>
          <w:p w:rsidR="00C265CE" w:rsidRPr="009E5FF1" w:rsidRDefault="00E77B23" w:rsidP="009763E0">
            <w:pPr>
              <w:pStyle w:val="Hallgatointezmeny-kar"/>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Laszlo Csicsmann</w:t>
            </w:r>
          </w:p>
          <w:p w:rsidR="00DB4822" w:rsidRDefault="00DB4822" w:rsidP="009763E0">
            <w:pPr>
              <w:pStyle w:val="Konzulensektitulus"/>
            </w:pPr>
            <w:r w:rsidRPr="00DB4822">
              <w:t>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Interdependence and Discord in Post-Normalisation China–US Relations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While the level of China-US interdependence is at an all-time high, there are increasing signs of an emerging strategic rivalry between the world's largest and second largest economies. These developments seem to counter liberal theories of IR, which claim that interdependence has a pacifying effect on interstate relations, and appear to substantiate the realist position that interdependence, in fact, either fuels the chance of conflict, or has no effect on conflict at all. This paper proposes an alternative approach to explaining the dynamics of interdependence and conflict in China-US relations. It argues that recent developments can be better understood by focusing on the asymmetry of interdependence (the relative level of dependence): as China's relative dependence on the US economy declines, its willingness to engage in conflictual behaviour rises. The paper offers empirical evidence to this end, as well as discussion on the nature of China-US interdependence, their political and strategic relations, and potential future trends in China-US relations.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44564">
    <w:multiLevelType w:val="hybridMultilevel"/>
    <w:lvl w:ilvl="0" w:tplc="330122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44564">
    <w:abstractNumId w:val="142445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92932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