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SZEDLACSEK</w:t>
            </w:r>
          </w:p>
          <w:p w:rsidR="00C275A3" w:rsidRDefault="00A96AEC" w:rsidP="00C275A3">
            <w:pPr>
              <w:pStyle w:val="Hallgatokepzes"/>
            </w:pPr>
            <w:r>
              <w:t>International Relations</w:t>
            </w:r>
            <w:r>
              <w:br/>
            </w:r>
            <w:r w:rsidR="00E77B23">
              <w:t>BSc, 2.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Gálik</w:t>
            </w:r>
          </w:p>
          <w:p w:rsidR="00DB4822" w:rsidRDefault="00DB4822" w:rsidP="00E11062">
            <w:pPr>
              <w:pStyle w:val="Konzulensek"/>
            </w:pPr>
            <w:r w:rsidRPr="00DB4822">
              <w:t>associate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United Kingdom and the European Union - better off out or 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United Kingdom had been present as the preventer of the European integration process for a long time and it seems as if the coalition government lead by David Cameron, considering the exit, adopted the traditional European policy of the United Kingdom. In my essay I examine the main problematic points of the British relationship with European integration. These, which can also be the main causes of the isolation of the island nation, are the following: the conservativism, the euroscepticism, the consciousness of a historically world-power nation, the priority of the trans-atlantic relationship, the importance of sovereignty and the British identity. I present the primary stages of the British separation from Europe, the signs of which were already present at the electioneering period of David Cameron’s coalition government (by presenting a new approach to Europe policy), and which he could perfect in announcing the thought of a possible referendum in the future. The programme of the review of the balance of competences and David Cameron’s speech held on the 23rd of January in 2013 proved to be further steps on the way of leaving the European Union. Observing the main alternatives (the Norwegian, Swiss, Turkish model and the total exit) I concluded that although it is possible that these models seem to be advantageous for the British nation, all of these would be disadvantageous politically as well as economically for the United Kingdom. It is high time for the United Kingdom to stop the cherry-picking strategy and decide whether they prefer to be part of the European Union or head towards the full exit.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48711">
    <w:multiLevelType w:val="hybridMultilevel"/>
    <w:lvl w:ilvl="0" w:tplc="30843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48711">
    <w:abstractNumId w:val="251487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00753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