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BENKŐ</w:t>
            </w:r>
          </w:p>
          <w:p w:rsidR="00C275A3" w:rsidRDefault="00A96AEC" w:rsidP="00C275A3">
            <w:pPr>
              <w:pStyle w:val="Hallgatokepzes"/>
            </w:pPr>
            <w:r>
              <w:t>finance and accounting</w:t>
            </w:r>
            <w:r>
              <w:br/>
            </w:r>
            <w:r w:rsidR="00E77B23">
              <w:t>BSc, 6. semester</w:t>
            </w:r>
          </w:p>
          <w:p w:rsidR="00C265CE" w:rsidRPr="009E5FF1" w:rsidRDefault="00E77B23" w:rsidP="00BA6BAF">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Rita Erdős</w:t>
            </w:r>
          </w:p>
          <w:p w:rsidR="00DB4822" w:rsidRDefault="00DB4822" w:rsidP="00BA6BAF">
            <w:pPr>
              <w:pStyle w:val="Konzulensektitulus"/>
            </w:pPr>
            <w:r w:rsidRPr="00DB4822">
              <w:t>Professor's Assistant,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possibilities and difficulties of defining the arm's length price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transfer pricing; arm's length price; transfer pricing methods</w:t>
      </w:r>
      <w:r>
        <w:t xml:space="preserve"/>
      </w:r>
    </w:p>
    <w:p>
      <w:pPr>
        <w:widowControl w:val="on"/>
        <w:pBdr/>
        <w:spacing w:before="240" w:after="240" w:line="240" w:lineRule="auto"/>
        <w:ind w:left="0" w:right="0"/>
        <w:jc w:val="left"/>
      </w:pPr>
      <w:r>
        <w:rPr>
          <w:color w:val="000000"/>
          <w:sz w:val="24"/>
          <w:szCs w:val="24"/>
        </w:rPr>
        <w:t xml:space="preserve">Transfer pricing is the main issue nowadays which regulates affaires among group of companies. In practice, transactions between related enterprises may contain unique elements, therefore, the biggest challenge is to establish the arm’s length price. In my thesis, beside general treats of transfer pricing and the theoretical background of it, I have also presented in detail the main methods to be applied when determining the arm’s length price, furthermore, by presenting some special case studies I have pointed out what difficulties can occur in applying these methods.</w:t>
      </w:r>
      <w:r>
        <w:rPr>
          <w:color w:val="000000"/>
          <w:sz w:val="24"/>
          <w:szCs w:val="24"/>
        </w:rPr>
        <w:br/>
        <w:t xml:space="preserve">Following this I have described the domestic and international regulatory background, and then I examined the audit practice. I have presented the methods by using a concrete company, Amphora Property Development Ltd which is an international real estate leasing company.</w:t>
      </w:r>
      <w:r>
        <w:rPr>
          <w:color w:val="000000"/>
          <w:sz w:val="24"/>
          <w:szCs w:val="24"/>
        </w:rPr>
        <w:br/>
        <w:t xml:space="preserve">In order to determine the special features and price characteristics on a given market, it is important to examine the given industry in detail which has been also an organic part of my thesis. I illustrated through examples, how many hardly quantifiable elements can contain the affairs. In certain cases, prices applied among independent parties are secret, and in many cases there are no suitable affairs at all for comparison, therefore, it is extremely hard to determine in an objective manner the usual market price.</w:t>
      </w:r>
      <w:r>
        <w:rPr>
          <w:color w:val="000000"/>
          <w:sz w:val="24"/>
          <w:szCs w:val="24"/>
        </w:rPr>
        <w:br/>
        <w:t xml:space="preserve">Related to the transactions, I have also examined the control practice of the Hungarian Tax Authority.</w:t>
      </w:r>
      <w:r>
        <w:rPr>
          <w:color w:val="000000"/>
          <w:sz w:val="24"/>
          <w:szCs w:val="24"/>
        </w:rPr>
        <w:br/>
        <w:t xml:space="preserve">In my opinion, one of the basic problems is that preparing the transfer pricing documentation is a huge administrative burden on the shoulders of the enterprises. Exact justification of the determined prices is a long lasting and time consuming task, furthermore, it is missing the clear guidance of the regulatory background. Despite of that I evaluated positively the collaboration between the tax authority and the enterprises in treating the problems risen during determining the usual market prices.</w:t>
      </w:r>
      <w:r>
        <w:rPr>
          <w:color w:val="000000"/>
          <w:sz w:val="24"/>
          <w:szCs w:val="24"/>
        </w:rPr>
        <w:br/>
        <w:t xml:space="preserve">The main objective of my thesis was to give a complex view of the practices used in determining the arm’s length prices: when, under which circumstances which one worth to be used, and what should be the main focus for the uncertain elements. Transfer pricing is not an exact science, it is hard to elaborate methods to cover every detail, or to develop the regulatory background and for the right pricing we will always need own sound judgment.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518309">
    <w:multiLevelType w:val="hybridMultilevel"/>
    <w:lvl w:ilvl="0" w:tplc="906541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518309">
    <w:abstractNumId w:val="775183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47607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