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KOVACS</w:t>
            </w:r>
          </w:p>
          <w:p w:rsidR="00C275A3" w:rsidRDefault="00A96AEC" w:rsidP="00C275A3">
            <w:pPr>
              <w:pStyle w:val="Hallgatokepzes"/>
            </w:pPr>
            <w:r>
              <w:t>Finance and Accounting</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László Péter Lakatos</w:t>
            </w:r>
          </w:p>
          <w:p w:rsidR="00DB4822" w:rsidRDefault="00DB4822" w:rsidP="00BA6BAF">
            <w:pPr>
              <w:pStyle w:val="Konzulensektitulus"/>
            </w:pPr>
            <w:r w:rsidRPr="00DB4822">
              <w:t>assistant professor (CUB - Department of Financial Accounting),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Accounting for Real Estate - Comparison of International Financial Reporting Standards (IFRS) and Hungarian Accounting Regulation, the effect of the financial crisis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real estate; IFRS; Hungarian Accounting Regulation; financial crisis</w:t>
      </w:r>
      <w:r>
        <w:t xml:space="preserve"/>
      </w:r>
    </w:p>
    <w:p>
      <w:pPr>
        <w:widowControl w:val="on"/>
        <w:pBdr/>
        <w:spacing w:before="240" w:after="240" w:line="240" w:lineRule="auto"/>
        <w:ind w:left="0" w:right="0"/>
        <w:jc w:val="left"/>
      </w:pPr>
      <w:r>
        <w:rPr>
          <w:color w:val="000000"/>
          <w:sz w:val="24"/>
          <w:szCs w:val="24"/>
        </w:rPr>
        <w:t xml:space="preserve">My purpose is to show accounting issues in relation with real estate raised by the IFRS and Hungarian Accounting Regulation together with their solution for these problems. I analyse the differences between the systems, trying to find misregulations and to identify the gaps in the regulations. In my work I explain necessity of a widely accepted accounting system (IFRS), the short story of the regulation, its role in the EU. I also present the conceptual framework and the qualitative characteristics applied to enable the system to lead to good quality financial information that maximises the usefulness of these statements and provide the so called true and fair view. My work also deals with question how was the fair value of these assets determined before and after the financial crisis and the questionable accounting practice of the companies using the fair value approach.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50748">
    <w:multiLevelType w:val="hybridMultilevel"/>
    <w:lvl w:ilvl="0" w:tplc="41183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50748">
    <w:abstractNumId w:val="55250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33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