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GYÖRGY KUBIK</w:t>
            </w:r>
          </w:p>
          <w:p w:rsidR="00C275A3" w:rsidRDefault="00A96AEC" w:rsidP="00C275A3">
            <w:pPr>
              <w:pStyle w:val="Hallgatokepzes"/>
            </w:pPr>
            <w:r>
              <w:t>Applied Economics</w:t>
            </w:r>
            <w:r>
              <w:br/>
            </w:r>
            <w:r w:rsidR="00E77B23">
              <w:t>BSc, 4. semester</w:t>
            </w:r>
          </w:p>
          <w:p w:rsidR="00C265CE" w:rsidRPr="009E5FF1" w:rsidRDefault="00E77B23" w:rsidP="009763E0">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KRISTÓF SZABÓ</w:t>
            </w:r>
          </w:p>
          <w:p w:rsidR="00DB4822" w:rsidRDefault="00C275A3" w:rsidP="004D7940">
            <w:pPr>
              <w:pStyle w:val="Hallgatokepzes"/>
            </w:pPr>
            <w:r>
              <w:t>Actuarial and Financial Mathematics</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Veronika Patkós</w:t>
            </w:r>
          </w:p>
          <w:p w:rsidR="00DB4822" w:rsidRDefault="00DB4822" w:rsidP="009763E0">
            <w:pPr>
              <w:pStyle w:val="Konzulensektitulus"/>
            </w:pPr>
            <w:r w:rsidRPr="00DB4822">
              <w:t>PhD Student,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Representatives of a feather flock together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examines the party discipline among the representatives of the 2010-2014 Hungarian parliamentary cycle based on their public voting records. A new indicator based on cluster analysis is introduced, which enables the researcher to either confirm, or reject hypotheses derived from the literature of political science using quantitative methods. The paper's findings show that party discipline intensified with the nearing of the next election, governing parliamentary groups experienced higher levels of party discipline than opposition parliamentary groups, and representatives that became nonaffiliated MPs after leaving a certain parliamentary group changed their voting behavior significantly: independents exhibited voting patterns more similar to other nonaffiliated MPs than the members of their former parliamentary groups or, in some cases, their voting behavior resembled the way members of a parliamentary group different from their former affiliation voted.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33192">
    <w:multiLevelType w:val="hybridMultilevel"/>
    <w:lvl w:ilvl="0" w:tplc="38830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33192">
    <w:abstractNumId w:val="97533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115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