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MARGITAY BALÁZS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ZSIDI KRISTÓF EMÁNUEL</w:t>
            </w:r>
          </w:p>
          <w:p w:rsidR="00DB4822" w:rsidRDefault="00C275A3" w:rsidP="004D7940">
            <w:pPr>
              <w:pStyle w:val="Hallgatokepzes"/>
            </w:pPr>
            <w:r>
              <w:t>nemzetközi gazdaság és gazdálkodás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András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Üzleti Gazdaságtan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Fair lesz-e a játék?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vállalatgazdaságtan; sport; labdarúgás; financial fair play;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során elsőként áttekintjük a Financial Fair Play rendszerét, szankcióit és eddigi, rövid történetét; kitérünk továbbá az észak-amerikai profiligákban meghonosított egyéb rendszerekre, melyek a verseny „fair” voltát szolgálják. Ezzel az a célunk, hogy elemezzük a szabályozás hátterét és egyben indokot találjunk, hogy az UEFA miért épp a bevételek és kiadások egyensúlyát írja elő, például a fizetések korlátozása helyett.</w:t>
      </w:r>
      <w:r>
        <w:rPr>
          <w:color w:val="000000"/>
          <w:sz w:val="24"/>
          <w:szCs w:val="24"/>
        </w:rPr>
        <w:br/>
        <w:t xml:space="preserve">Ezután röviden bemutatjuk az európai kupasorozatokat, hiszen a rendszer szorosan összefügg a Bajnokok Ligájával és az Európa Ligával, mind a szabályozás célját és következményeit tekintve.</w:t>
      </w:r>
      <w:r>
        <w:rPr>
          <w:color w:val="000000"/>
          <w:sz w:val="24"/>
          <w:szCs w:val="24"/>
        </w:rPr>
        <w:br/>
        <w:t xml:space="preserve">Az elemzés során részletezzük a német és az angol labdarúgó bajnokság jellemzőit; két-két sikeres és rendszeres európai kupa-szereplő (Bundesliga: Bayern München és Borussia Dortmund; Premier League: Chelsea és Manchester United) példáján keresztül igyekszünk felvázolni azokat a lehetőségeket, melyekkel az új európai szabályrendszernek a klubok megfelelnek.</w:t>
      </w:r>
      <w:r>
        <w:rPr>
          <w:color w:val="000000"/>
          <w:sz w:val="24"/>
          <w:szCs w:val="24"/>
        </w:rPr>
        <w:br/>
        <w:t xml:space="preserve">Hipotézisünk szerint az angol csapatoknak tőkeelőnyük van, viszont az új szabályrendszernek való megfelelésük problémás lehet, míg a német csapatok a szabályrendszer kritériumait teljesítik, ám versenyképességi hátrányban vannak – a napjainkban tapasztalható helyzetet tekintve. Szerintünk a Financial Fair Play mechanizmusa ezt a különbséget képes lenne enyhíteni – amennyiben teljes körűen alkalmazásra kerül. Így a professzionális labdarúgás csúcsán elkezdődne az olló bezárulása, mely az utóbbi években kezdett kinyílni a különböző nagybefektetők megjelenésével, illetve általában a professzionális labdarúgásba áramló pénz növekedésével.</w:t>
      </w:r>
      <w:r>
        <w:rPr>
          <w:color w:val="000000"/>
          <w:sz w:val="24"/>
          <w:szCs w:val="24"/>
        </w:rPr>
        <w:br/>
        <w:t xml:space="preserve">A dolgozat következő fejezetében megvizsgáljuk a klubok bevételi forrásait a Deloitte Money League elemzése által kiemelt 3 területen, majd összehasonlító elemzés során mutatunk rá az angol és német klubok között meglévő hasonlóságokra és különbségekre. Miután elemeztük a Financial Fair Play rendszerét, a működési környezetet és az érintetteket, rátérünk a részek összekapcsolására, vagyis arra, hogy az FFP működése miként befolyásolja jelen pillanatban és a következő években előreláthatólag a klubok működését, miben kényszerülnek változtatni és az új helyzet mennyiben fog kedvezni nekik. A dolgozat lezárásaként megvizsgáljuk hipotézisünk helyességét, valamint rövid kitekintést adunk az általunk várt fejleményekről.</w:t>
      </w:r>
      <w:r>
        <w:rPr>
          <w:color w:val="000000"/>
          <w:sz w:val="24"/>
          <w:szCs w:val="24"/>
        </w:rPr>
        <w:br/>
        <w:t xml:space="preserve">Mivel a dolgozatot 2014. március 26-án zártuk le, elemzésünk csak az addigi fejleményekre terjed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691314">
    <w:multiLevelType w:val="hybridMultilevel"/>
    <w:lvl w:ilvl="0" w:tplc="82550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691314">
    <w:abstractNumId w:val="556913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4247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