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MARGITAY</w:t>
            </w:r>
          </w:p>
          <w:p w:rsidR="00C275A3" w:rsidRDefault="00A96AEC" w:rsidP="00C275A3">
            <w:pPr>
              <w:pStyle w:val="Hallgatokepzes"/>
            </w:pPr>
            <w:r>
              <w:t>Finance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EMÁNUEL KRISTÓF ZSIDI</w:t>
            </w:r>
          </w:p>
          <w:p w:rsidR="00DB4822" w:rsidRDefault="00C275A3" w:rsidP="004D7940">
            <w:pPr>
              <w:pStyle w:val="Hallgatokepzes"/>
            </w:pPr>
            <w:r>
              <w:t>International Economy and Business</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Krisztina András PhD</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Fair play or not?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economics; sport; football; financial fair play</w:t>
      </w:r>
      <w:r>
        <w:t xml:space="preserve"/>
      </w:r>
    </w:p>
    <w:p>
      <w:pPr>
        <w:widowControl w:val="on"/>
        <w:pBdr/>
        <w:spacing w:before="240" w:after="240" w:line="240" w:lineRule="auto"/>
        <w:ind w:left="0" w:right="0"/>
        <w:jc w:val="left"/>
      </w:pPr>
      <w:r>
        <w:rPr>
          <w:color w:val="000000"/>
          <w:sz w:val="24"/>
          <w:szCs w:val="24"/>
        </w:rPr>
        <w:t xml:space="preserve">In the first chapter we give a short summary of the history, sanctions and the whole system of UEFA Financial Fair Play. Then we introduce other schemes from the North – American professional sport leagues (e.g. NHL, NBA etc.) which serve the „fair way” of the competition. We aim to analyze the background of the regulation and find an answer why the balance of incomes and expenditures is the goal of the UEFA instead of – for example – setting a salary cap.</w:t>
      </w:r>
      <w:r>
        <w:rPr>
          <w:color w:val="000000"/>
          <w:sz w:val="24"/>
          <w:szCs w:val="24"/>
        </w:rPr>
        <w:br/>
        <w:t xml:space="preserve">In the next chapters we give a brief analysis of European cups (UEFA Champions League, UEFA Europa League), because the mechanism and sanctions of Financial Fair Play strongly related to these competitions.</w:t>
      </w:r>
      <w:r>
        <w:rPr>
          <w:color w:val="000000"/>
          <w:sz w:val="24"/>
          <w:szCs w:val="24"/>
        </w:rPr>
        <w:br/>
        <w:t xml:space="preserve">During the analysis we focus on the specifications of the German and English domestic leagues. We concentrate on two-two successful and regular participants of the European club competitions (Bundesliga: Bayern Munich and Borussia Dortmund; Premier League: Chelsea and Manchester United). Through the example of these clubs we search for the possibilities to meet the criteria of Financial Fair Play.</w:t>
      </w:r>
      <w:r>
        <w:rPr>
          <w:color w:val="000000"/>
          <w:sz w:val="24"/>
          <w:szCs w:val="24"/>
        </w:rPr>
        <w:br/>
        <w:t xml:space="preserve">According to our hypothesis the English teams have a capital advantage, however they may have difficulties meeting the criteria of the regulations. On the other hand the German teams meet the criteria, but they are lack of competitiveness. In our opinion the system of Financial Fair Play is able to balance the differences among the top clubs of professional football – the differences which were brought by the wealthy investors and by the rising amount of money inflows.</w:t>
      </w:r>
      <w:r>
        <w:rPr>
          <w:color w:val="000000"/>
          <w:sz w:val="24"/>
          <w:szCs w:val="24"/>
        </w:rPr>
        <w:br/>
        <w:t xml:space="preserve">In the next chapter we analyze the sources of income of the clubs according to the Deloitte Money League’s three areas, focusing on the differences among the German and English championships and clubs. Then we show how the current regulation of the Financial Fair Play effects the operation of the clubs now and in the near future (how they should change transfer policy and player-salaries or why the situation is favourable for them, etc.)</w:t>
      </w:r>
      <w:r>
        <w:rPr>
          <w:color w:val="000000"/>
          <w:sz w:val="24"/>
          <w:szCs w:val="24"/>
        </w:rPr>
        <w:br/>
        <w:t xml:space="preserve">Finally we test our hypothesis and give a brief outlook for the next years.</w:t>
      </w:r>
      <w:r>
        <w:rPr>
          <w:color w:val="000000"/>
          <w:sz w:val="24"/>
          <w:szCs w:val="24"/>
        </w:rPr>
        <w:br/>
        <w:t xml:space="preserve">As we finalized our work on 26 March, 2014 we could not take into account later developments and updates.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71315">
    <w:multiLevelType w:val="hybridMultilevel"/>
    <w:lvl w:ilvl="0" w:tplc="60178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71315">
    <w:abstractNumId w:val="71071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1666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