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KÖVESDY MÁRTON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RAJNA RENÁTA</w:t>
            </w:r>
          </w:p>
          <w:p w:rsidR="00DB4822" w:rsidRDefault="00C275A3" w:rsidP="004D7940">
            <w:pPr>
              <w:pStyle w:val="Hallgatokepzes"/>
            </w:pPr>
            <w:r>
              <w:t>Pénzügy és számvitel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Bencsik Barnabás</w:t>
            </w:r>
          </w:p>
          <w:p w:rsidR="00DB4822" w:rsidRDefault="00DB4822" w:rsidP="00BA6BAF">
            <w:pPr>
              <w:pStyle w:val="Konzulensektitulus"/>
            </w:pPr>
            <w:r w:rsidRPr="00DB4822">
              <w:t>alapító igazgató ,  ACAX - Agency for Contemporary Art Exchange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Fekete alapon fehér négyzet - Mi hiányzik a kortárs magyar képzőművészeti piacról?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kortárs, képzőművészet, aukció, gyűjtők, galériák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kortárs magyar képzőművészeti piac egy fontos sajátosságával, a kortárs aukciók hiányával foglalkozunk. Az egyébként rendkívül nehezen átlátható, kiszámíthatatlan piacon az árverések adhatnák azt a transzparens terepet, ami alapján a szereplők információt nyerhetnek az adott művek, művészek értékéről, és ebből következően ez lehetne az a mechanizmus, amivel egy művész nagy közönség előtt is felépíthető lehetne.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Az, hogy ez Magyarországon mégsem működik, egyrészt a kortárs műkereskedelem sajátosságaiból, másrészt a magyar piac adottságaiból fakad. Dolgozatunkban e két szempont alapján tekintjük át a piac keresleti, illetve kínálati oldalát, majd a tranzakciók különböző típusait és azok alkalmazhatóságát vizsgáljuk.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alapján úgy látjuk, az aukciós mechanizmus jobb működése önmagában nem erősítené a piacot, az következmény, és nem ok: a jól működő kortárs aukciók egy erős képzőművészeti piac eredményeként alakulnak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22044">
    <w:multiLevelType w:val="hybridMultilevel"/>
    <w:lvl w:ilvl="0" w:tplc="69329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22044">
    <w:abstractNumId w:val="609220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991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