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WELSZ EDIT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Csubák Tibor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Stratégia és Projektvezetés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 fújjuk a következő technológiai lufit - A közösségi média vállalatainak túlértékeltsége újabb válsághoz vezethet?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média, buborék, túlértékelt, válság, IT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részvénypiaci eseményei és az árfolyamok sok esetben szokatlan elmozdulásai egy elemzésre okot adó helyzetre hívták fel a figyelmet. Számos példát találhatunk a tőzsdén olyan vállalatokra, amelyek pénzben mérhető értéket nem termelnek, azonban részvényeik árfolyama folyamatosan emelkedik. Az érték tőzsdei ártól való tartós elszakadása buborékhoz vezethet, így dolgozatom célja, hogy a közelmúlt eseményeit elemezve, és a közösségi média vezető vállalatait – Facebook, Twitter, LinkedIn - értékelve feltárjam azt a folyamatot, mely a túlértékeltségből kiindulva egy újabb részvénypiaci buborékhoz vezethet.</w:t>
      </w:r>
      <w:r>
        <w:rPr>
          <w:color w:val="000000"/>
          <w:sz w:val="24"/>
          <w:szCs w:val="24"/>
        </w:rPr>
        <w:br/>
        <w:t xml:space="preserve">A dolgozat első fejezetében a vállalatértékelés elméletét mutatom be a legfontosabb szakirodalmak feldolgozása útján, annak alapvető célját és funkcióját, ezt követi az értékelési módszerek részletes ismertetése, majd pedig az internetes cégek értékelésére haszná1ható módszertan kiválasztása. A dolgozat második egysége az újabb buborék problémakörét vizsgálja. Először bemutatásra kerülnek a dot-com válság sajátosságai, majd pedig a jelenlegi helyzettel való hasonlóságok és különbségek feltárása következik, végül pedig a kiválasztott vállalatok értékelése az elméleti fejezetben meghatározott módszerrel.</w:t>
      </w:r>
      <w:r>
        <w:rPr>
          <w:color w:val="000000"/>
          <w:sz w:val="24"/>
          <w:szCs w:val="24"/>
        </w:rPr>
        <w:br/>
        <w:t xml:space="preserve">A relatív értékelés eredményei rávilágítottak arra, hogy a kiválasztott vállalatok egymáshoz képest is túlértékeltek, és ugyanez igaz ezek összehasonlító csoportjára is az iparágban. A DCF-modell pedig bebizonyította azt, hogy a fundamentumok alapján ezen vállalatok részvényeinek értéke nagyságrendileg elmarad azok aktuális tőzsdei árfolyamától.</w:t>
      </w:r>
      <w:r>
        <w:rPr>
          <w:color w:val="000000"/>
          <w:sz w:val="24"/>
          <w:szCs w:val="24"/>
        </w:rPr>
        <w:br/>
        <w:t xml:space="preserve">Definíció szerint valóban az a konklúzió a számítások alapján, hogy egy buborék van kialakulóban. A vizsgált vállalatok értéke nincs összhangban tőzsdei árfolyamukkal, és ez tendenciaszerűen van jelen, vagyis tartósnak tekinthető. Ennek ellenére a részvények forgalma nem csökkent, és ebből a tendenciából arra lehet következtetni, hogy a várakozások szerint a jövőben további növekedésre lehet számítani, és a befektetők hisznek abban, hogy jelentős CF növekmény elérésre lesznek képesek a vállalatok. A túlértékelt vállalatok részvényeit vásárló befektetők már nem a fundamentumok alapján, inkább a felhasználók száma és azok aktivitása alapján értékelnek.</w:t>
      </w:r>
      <w:r>
        <w:rPr>
          <w:color w:val="000000"/>
          <w:sz w:val="24"/>
          <w:szCs w:val="24"/>
        </w:rPr>
        <w:br/>
        <w:t xml:space="preserve">A vélemények rendkívül különböznek a kérdésben, azonban aki nem ért egyet a buborék létezésével, az is beláthatja, hogy amint a Fed alapkamatot emel, azáltal egy általános tőzsdei árfolyamesés fog bekövetkezni, amely elsősorban a túlértékelt vállalatokat sújtja.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66280">
    <w:multiLevelType w:val="hybridMultilevel"/>
    <w:lvl w:ilvl="0" w:tplc="25444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66280">
    <w:abstractNumId w:val="76366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295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