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RÉKA IPACS</w:t>
            </w:r>
          </w:p>
          <w:p w:rsidR="00C275A3" w:rsidRDefault="00A96AEC" w:rsidP="00C275A3">
            <w:pPr>
              <w:pStyle w:val="Hallgatokepzes"/>
            </w:pPr>
            <w:r>
              <w:t>Andragogy</w:t>
            </w:r>
            <w:r>
              <w:br/>
            </w:r>
            <w:r w:rsidR="00E77B23">
              <w:t>MA, 4.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Farkas PhD</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validation of nonformal and informal learning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Validation of learning outcomes acquired in non-formal learning environments gets more and more attention in the policy of the European Union. Rightly so, because it has countless advantages for the indviduals, for the society and for the economy. In Hungary, however - despite the efforts of the European Union - there is no real practice, or standardized terminology of validation. More strategies involve the creation of a national system as a goal but there is still no sign of that in practice.</w:t>
      </w:r>
    </w:p>
    <w:p>
      <w:pPr>
        <w:widowControl w:val="on"/>
        <w:pBdr/>
        <w:spacing w:before="240" w:after="240" w:line="240" w:lineRule="auto"/>
        <w:ind w:left="0" w:right="0"/>
        <w:jc w:val="left"/>
      </w:pPr>
      <w:r>
        <w:rPr>
          <w:color w:val="000000"/>
          <w:sz w:val="24"/>
          <w:szCs w:val="24"/>
        </w:rPr>
        <w:t xml:space="preserve">I will investiagate only a small area of this subject, the relation between adult institutions and validation of nonformal learning.</w:t>
      </w:r>
    </w:p>
    <w:p>
      <w:pPr>
        <w:widowControl w:val="on"/>
        <w:pBdr/>
        <w:spacing w:before="240" w:after="240" w:line="240" w:lineRule="auto"/>
        <w:ind w:left="0" w:right="0"/>
        <w:jc w:val="left"/>
      </w:pPr>
      <w:r>
        <w:rPr>
          <w:color w:val="000000"/>
          <w:sz w:val="24"/>
          <w:szCs w:val="24"/>
        </w:rPr>
        <w:t xml:space="preserve">In my opinion, operators of the industry can get market adventage, if they use the measurement, assesment and recognition of nonformal and informal learning professionally. For this, learning outcomes are one of the right methods in my view.</w:t>
      </w:r>
      <w:r>
        <w:rPr>
          <w:color w:val="000000"/>
          <w:sz w:val="24"/>
          <w:szCs w:val="24"/>
        </w:rPr>
        <w:br/>
        <w:t xml:space="preserve">The writing and application of learning outcomes are easy to master and it is effectively applicable in validation. It is a lot easier to check whether the adult has the right competences and by this the recognition of his/her knowledge will be an easier, quicker and more professional process. Any educational process can benefit from the validation of informal and nonformal learning. It helps to enter the course and makes the recognition possible. This makes the course more appealing and motivates the participation in lifelong learning.</w:t>
      </w:r>
    </w:p>
    <w:p>
      <w:pPr>
        <w:widowControl w:val="on"/>
        <w:pBdr/>
        <w:spacing w:before="240" w:after="240" w:line="240" w:lineRule="auto"/>
        <w:ind w:left="0" w:right="0"/>
        <w:jc w:val="left"/>
      </w:pPr>
      <w:r>
        <w:rPr>
          <w:color w:val="000000"/>
          <w:sz w:val="24"/>
          <w:szCs w:val="24"/>
        </w:rPr>
        <w:t xml:space="preserve">In my opinion having this kind of professional experience for people working in adult education institutions – with the knowledge of measurement of competences – would contribute to higher level measurement and recognition of learning outcomes of nonformal and informal learning and to the increase of popularity and application of validation.</w:t>
      </w:r>
    </w:p>
    <w:p>
      <w:pPr>
        <w:widowControl w:val="on"/>
        <w:pBdr/>
        <w:spacing w:before="240" w:after="240" w:line="240" w:lineRule="auto"/>
        <w:ind w:left="0" w:right="0"/>
        <w:jc w:val="left"/>
      </w:pPr>
      <w:r>
        <w:rPr>
          <w:color w:val="000000"/>
          <w:sz w:val="24"/>
          <w:szCs w:val="24"/>
        </w:rPr>
        <w:t xml:space="preserve">Besides the theoretical background of the topic, my thesis consists a training program developped by me, which helps to broaden the knowledge of adult learning professionals when it comes to validation because I believe that professional validation is an essential part of adult education.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30710">
    <w:multiLevelType w:val="hybridMultilevel"/>
    <w:lvl w:ilvl="0" w:tplc="649681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30710">
    <w:abstractNumId w:val="547307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828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