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GIRICZ</w:t>
            </w:r>
          </w:p>
          <w:p w:rsidR="00C275A3" w:rsidRDefault="00A96AEC" w:rsidP="00C275A3">
            <w:pPr>
              <w:pStyle w:val="Hallgatokepzes"/>
            </w:pPr>
            <w:r>
              <w:t>Biology</w:t>
            </w:r>
            <w:r>
              <w:br/>
            </w:r>
            <w:r w:rsidR="00E77B23">
              <w:t>BSc, 6.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Nikolett Bódi PhD</w:t>
            </w:r>
          </w:p>
          <w:p w:rsidR="00DB4822" w:rsidRDefault="00DB4822" w:rsidP="009763E0">
            <w:pPr>
              <w:pStyle w:val="Konzulensektitulus"/>
            </w:pPr>
            <w:r w:rsidRPr="00DB4822">
              <w:t>senior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lysyl-oxidase expression in myenteric ganglia in different gut segments of streptozotocin-induced untreated ans insulin-treated diabetic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We recently demonstrated that the susceptibility of nitrergic myenteric neurons and the mesenteric capillaries supplying them to diabetic damage and to insulin treatment is strictly regional. These indicate the importance of molecular differences in the neuronal microenvironment in different gut segments. Lysyl-oxidase (LOX), a cross-linker of extracellular matrix molecules, has a key role in maintain the matrix integrity which is critical in diabetes. Therefore, the aim of this study was to reveal the quantitative differences in LOX expression in different gut segments of streptozotocin-induced diabetic, insulin- treated diabetic, and control rats.</w:t>
      </w:r>
      <w:r>
        <w:rPr>
          <w:color w:val="000000"/>
          <w:sz w:val="24"/>
          <w:szCs w:val="24"/>
        </w:rPr>
        <w:br/>
        <w:t xml:space="preserve">    Ten weeks after the onset of diabetes, segments from duodenum, ileum and colon were processed for post-embedding immunogold electron microscopy. The quantitative changes in LOX expression were evaluated in myenteric ganglia, mesenteric capillaries and intestinal smooth muscle.</w:t>
      </w:r>
      <w:r>
        <w:rPr>
          <w:color w:val="000000"/>
          <w:sz w:val="24"/>
          <w:szCs w:val="24"/>
        </w:rPr>
        <w:br/>
        <w:t xml:space="preserve">    In diabetic rats, the number of LOX labelling gold particles increased significantly in the duodenum, decreased in the colon, and remained around the control level in the ileum. The immediate insulin replacement markedly decreased the LOX expression in all investigated gut segments and compartments.</w:t>
      </w:r>
      <w:r>
        <w:rPr>
          <w:color w:val="000000"/>
          <w:sz w:val="24"/>
          <w:szCs w:val="24"/>
        </w:rPr>
        <w:br/>
        <w:t xml:space="preserve">    Our data indicate that the region-specific quantitative changes of LOX expression are closely related to the regional damages of the enteric neurons and capillaries in diabetes. Revealing the molecular background of these changes is now in progress in our laboratory.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11739">
    <w:multiLevelType w:val="hybridMultilevel"/>
    <w:lvl w:ilvl="0" w:tplc="55426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11739">
    <w:abstractNumId w:val="85211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06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