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>Chemist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Loránd Kiss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János Wölfling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Syntheses of new, fluorine-containing functionalized cyclic β-amino acid derivatives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fluorination; beta-amino acids; Deoxofluor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Incorporation of fluorine into organic molecules greatly influence their in vivo properties (reactivity, metabolism, biological effect) through changing bond polarities and conformations. As a consequence, currently about 20% of drugs contain fluorine and this percentage is rising.[1,2]</w:t>
      </w:r>
      <w:r>
        <w:rPr>
          <w:color w:val="000000"/>
          <w:sz w:val="24"/>
          <w:szCs w:val="24"/>
        </w:rPr>
        <w:br/>
        <w:t xml:space="preserve">In the last 25 years, cyclic β-amino acids received more and more attention as potentially bioactive molecules and possible building blocks for foldamers.[3] Their fluorinated derivatives, however, were studied to a lesser extent.[4] Because of these, the aim of our research was the synthesis of fluorinated cyclic β-amino acid derivatives by deoxofluorination (hydroxyl-fluorine exchange) of previously synthesized regio- and stereoselectively hydroxilated ones with five- or six-membered ring.</w:t>
      </w:r>
      <w:r>
        <w:rPr>
          <w:color w:val="000000"/>
          <w:sz w:val="24"/>
          <w:szCs w:val="24"/>
        </w:rPr>
        <w:br/>
        <w:t xml:space="preserve">[1] Müller, K., Faeh, C., Diederich, F., Science, 317, 1881-1886 (2007)</w:t>
      </w:r>
      <w:r>
        <w:rPr>
          <w:color w:val="000000"/>
          <w:sz w:val="24"/>
          <w:szCs w:val="24"/>
        </w:rPr>
        <w:br/>
        <w:t xml:space="preserve">[2] Wang, J., Sánchez-Roselló, M., Aceña, J. L., del Pozo, C., Sorochinsky, A. E., Fustero, S., Soloshonok, V. A., Liu, H., Chem. Rev., 114 (4), 2432-2506 (2014)</w:t>
      </w:r>
      <w:r>
        <w:rPr>
          <w:color w:val="000000"/>
          <w:sz w:val="24"/>
          <w:szCs w:val="24"/>
        </w:rPr>
        <w:br/>
        <w:t xml:space="preserve">[3] Kiss, L., Forró, E., Fülöp, F., Synthesis of carbocyclic β-amino acids. In: Amino Acids, Peptides and Proteins in Organic Chemistry, Vol. 1. (Ed. A. B. Hughes). Wiley, Weinheim, 367-409 (2009)</w:t>
      </w:r>
      <w:r>
        <w:rPr>
          <w:color w:val="000000"/>
          <w:sz w:val="24"/>
          <w:szCs w:val="24"/>
        </w:rPr>
        <w:br/>
        <w:t xml:space="preserve">[4] Aceña, J. L., Simón-Fuentes, A., Fustero, S., Curr. Org. Chem., 14 (9), 928-949 (2010)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18621">
    <w:multiLevelType w:val="hybridMultilevel"/>
    <w:lvl w:ilvl="0" w:tplc="497730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18621">
    <w:abstractNumId w:val="468186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72428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