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VADOVICS MÁTÉ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Somogyvári Ferenc docens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Baktériumok es gombák multiplex detektálása Real-time PCR es FRET 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szepszisben részt vevő baktériumok és gombák identifikációja hagyományos tenyésztéses módszerrel időigényes, ami nagyban befolyásolhatja a fertőzés végkimenetelét. A PCR alapú technikák forradalmasították a patogén baktériumok és gombák gyors detektálását, továbbá a legújabb módszerek lehetővé teszik a faj szintű azonosítást is.</w:t>
      </w:r>
      <w:r>
        <w:rPr>
          <w:color w:val="000000"/>
          <w:sz w:val="24"/>
          <w:szCs w:val="24"/>
        </w:rPr>
        <w:br/>
        <w:t xml:space="preserve">Korábbi kísérleteinkben –a detektálás mellett- sikerült elkülönítenünk a leggyakoribb szepszist is okozó gombákat és baktériumokat. Ez a multiplex módszer a LightCycler kapilláris real-time PCR készülék három detektáló csatornáján képes elkülöníteni a Gram negatív és Gram pozitív baktériumokat, valamint a gombákat. Az általunk kidolgozott FRET technikával az amplikon olvadási görbéjéből a 7 leggyakoribb Candida, az amplikon és a Gram specifikus próbák olvadási hőmérsékleteinek kombinációjából pedig a leggyakoribb baktériumok fajszinten azonosíthatóak.</w:t>
      </w:r>
      <w:r>
        <w:rPr>
          <w:color w:val="000000"/>
          <w:sz w:val="24"/>
          <w:szCs w:val="24"/>
        </w:rPr>
        <w:br/>
        <w:t xml:space="preserve">A kimutatás idejét tovább lehet csökkenteni a DNS preparálás esetleges elhagyásával. A legújabb, inhibítor toleráns polimerázok lehetővé teszik, hogy a megfelelő koncentrációjú vért illetve szérumot közvetlen, preparálás nélkül használhassuk a PCR reakcióhoz. Miután a vér hemoglobinja ilyenkor elfedi a fluoreszcens jeleket, a kórokozók az amplikonok mérete alapján különíthetőek el, ami több időt vesz igénybe, mint a valós idejű PCR.</w:t>
      </w:r>
      <w:r>
        <w:rPr>
          <w:color w:val="000000"/>
          <w:sz w:val="24"/>
          <w:szCs w:val="24"/>
        </w:rPr>
        <w:br/>
        <w:t xml:space="preserve">Munkánk további célja a faj szerinti identifikálás a DNS tisztítás nélküli reakcióval, illetve a két módszer egyesítése, ha lehetséges, a reakció idő további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18922">
    <w:multiLevelType w:val="hybridMultilevel"/>
    <w:lvl w:ilvl="0" w:tplc="68122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18922">
    <w:abstractNumId w:val="32618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314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