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FRITTMANN</w:t>
            </w:r>
          </w:p>
          <w:p w:rsidR="00C275A3" w:rsidRDefault="00A96AEC" w:rsidP="00C275A3">
            <w:pPr>
              <w:pStyle w:val="Hallgatokepzes"/>
            </w:pPr>
            <w:r>
              <w:t>Molecular, immune- and mirobiologie</w:t>
            </w:r>
            <w:r>
              <w:br/>
            </w:r>
            <w:r w:rsidR="00E77B23">
              <w:t>MSc, 12.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Ildikó Unk, Dr.</w:t>
            </w:r>
          </w:p>
          <w:p w:rsidR="00DB4822" w:rsidRDefault="00DB4822" w:rsidP="009763E0">
            <w:pPr>
              <w:pStyle w:val="Konzulensektitulus"/>
            </w:pPr>
            <w:r w:rsidRPr="00DB4822">
              <w:t>senior research associate,  Hungarian Academy of Sciences Biological Research Center, Institute of Genetics, Szeged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Structure function analysis of yeast Rad18</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Cells are exposed to a wide variety of DNA damaging agents and they have evolved numerous mechanisms to counter the potentially lethal effects caused as a result. One such mechanism is the DNA damage tolerance (DDT) pathway which helps to bypass the DNA lesion at the site of DNA damage so that replication can proceed forward.</w:t>
      </w:r>
      <w:r>
        <w:rPr>
          <w:color w:val="000000"/>
          <w:sz w:val="24"/>
          <w:szCs w:val="24"/>
        </w:rPr>
        <w:br/>
        <w:t xml:space="preserve">DDT can be divided into three different subpathways.</w:t>
      </w:r>
      <w:r>
        <w:rPr>
          <w:color w:val="000000"/>
          <w:sz w:val="24"/>
          <w:szCs w:val="24"/>
        </w:rPr>
        <w:br/>
        <w:t xml:space="preserve">Rad18 plays a crucial role in the DNA damage tolerance pathway. Together with Rad6 it forms a ubiquitin conjugase-ligase complex to ubiquitinate the PCNA and to rescue the stalled replication fork.</w:t>
      </w:r>
      <w:r>
        <w:rPr>
          <w:color w:val="000000"/>
          <w:sz w:val="24"/>
          <w:szCs w:val="24"/>
        </w:rPr>
        <w:br/>
        <w:t xml:space="preserve">The Rad18 protein has five identified domains. These are the RING, ATP- and Rad6 binding, Zn finger and SAP domains. The functions of Zn-finger and SAP domain remain unknown. There are also regions in Rad18 which remain uncharacterized. Our goal is to identify the unknown function of two domains and analyse the uncharacterized regions by genetic and molecular analysis.</w:t>
      </w:r>
      <w:r>
        <w:rPr>
          <w:color w:val="000000"/>
          <w:sz w:val="24"/>
          <w:szCs w:val="24"/>
        </w:rPr>
        <w:br/>
        <w:t xml:space="preserve">We constructed a series of deletion mutants. Sensitivity assays were done to study the effect of these mutants on the function of Rad18 by expressing either wild type or mutant RAD18 gene containing constructs in a RAD18 deletion strain.</w:t>
      </w:r>
      <w:r>
        <w:rPr>
          <w:color w:val="000000"/>
          <w:sz w:val="24"/>
          <w:szCs w:val="24"/>
        </w:rPr>
        <w:br/>
        <w:t xml:space="preserve">The three C-terminal deletion mutants do not show any sensitivity to DNA damaging agents (UV, MMS, HU) which indicates that they have no role to play in the function of Rad18. Similar sensitivity assays have been done using the three N-terminal deletion mutants. The N-terminal deletion mutants shows a sensitivity when compared to the wild type. Deletion of the Zn-finger domain or the Zn-finger and SAP domain combined confers sensitivity similar to that of a complete Rad18 deletion.</w:t>
      </w:r>
      <w:r>
        <w:rPr>
          <w:color w:val="000000"/>
          <w:sz w:val="24"/>
          <w:szCs w:val="24"/>
        </w:rPr>
        <w:br/>
        <w:t xml:space="preserve">We have chosen one of the N-terminal deletion mutants Rad18(115-190) to study further and analyse the cause of its sensitivity. To this extent we performed an epistasis analysis. We found that the Rad18 mutant might function in the MMS2-RAD5 subpathway.</w:t>
      </w:r>
      <w:r>
        <w:rPr>
          <w:color w:val="000000"/>
          <w:sz w:val="24"/>
          <w:szCs w:val="24"/>
        </w:rPr>
        <w:br/>
        <w:t xml:space="preserve">Mutagenesis experiments show the eleveted level of mutagenesis in Rad18 mutant when compared to wild type which is characteristic of Mms2.</w:t>
      </w:r>
      <w:r>
        <w:rPr>
          <w:color w:val="000000"/>
          <w:sz w:val="24"/>
          <w:szCs w:val="24"/>
        </w:rPr>
        <w:br/>
        <w:t xml:space="preserve">Genetic analysis so far indicates that Rad18 mutant could play a role in Rad5-Mms2 subpathway of DDT. So, we used yeast two hybrid analysis to check the interaction of the mutant with Rad5 which shows that the mutant is not capable of interacting with Rad5. This indicates that the region deleted in Rad18(115-190) mutant is important for its interaction with Rad5.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50516">
    <w:multiLevelType w:val="hybridMultilevel"/>
    <w:lvl w:ilvl="0" w:tplc="874015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50516">
    <w:abstractNumId w:val="132505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77274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