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KINGA</w:t>
            </w:r>
          </w:p>
          <w:p w:rsidR="00C275A3" w:rsidRDefault="00A96AEC" w:rsidP="00C275A3">
            <w:pPr>
              <w:pStyle w:val="Hallgatokepzes"/>
            </w:pPr>
            <w:r>
              <w:t>Biológia</w:t>
            </w:r>
            <w:r>
              <w:br/>
            </w:r>
            <w:r w:rsidR="00E77B23">
              <w:t>BSc, 8.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Bencsik Krisztina</w:t>
            </w:r>
          </w:p>
          <w:p w:rsidR="00DB4822" w:rsidRDefault="00DB4822" w:rsidP="00E11062">
            <w:pPr>
              <w:pStyle w:val="Konzulensek"/>
            </w:pPr>
            <w:r w:rsidRPr="00DB4822">
              <w:t>egyetemi docens,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Kemokinek szerepe sclerosis multiplexben: A CCR5Δ32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sclerosis multiplex (SM) egy krónikus, progresszív neurodegeneratív megbetegedés, mely a neuronok vezetőképességének megváltozásával jár. Szokatlanul nagy klinikai és patológiai heterogenitást mutat, ebből kifolyólag a pontos pathomechanizmusa sem ismert.</w:t>
      </w:r>
      <w:r>
        <w:rPr>
          <w:color w:val="000000"/>
          <w:sz w:val="24"/>
          <w:szCs w:val="24"/>
        </w:rPr>
        <w:br/>
        <w:t xml:space="preserve">Autoimmun betegség lévén az SM-ben meghatározó funkciót látnak el a citokinek. A mielinhüvelyt károsító autoagresszív T-sejtek kemokinekkel kommunikálnak egymással, ezen molekulák felelősek a leukociták gyulladás helyére történő irányításáért. A vér-agy gát sérülése során a mononukleáris sejtek bejutnak a központi idegrendszer területére. Az agyi neuronok és a mikrogliák sejtfelszínükön CC-kemokin receptor 5-öt (CCR5) expresszálnak, másrészről ligandja, a CCL5 nagy mennyiségben felszabadul a betegek cerebrospinális folyadékában és a léziók környékén. Receptor polimorfizmusait számos országban vizsgálták, a CCR5 génjében bekövetkező 32 bázispáros deléció betegségben betöltött szerepéről azonban változatos eredményű közlemények jelentek meg. Néhány publikáció mint lehetséges rizikó faktor említi, más források protektív faktorként írnak róla, illetve születtek olyan eredmények is, ahol nem találtak összefüggést a deléció és a betegség között.</w:t>
      </w:r>
      <w:r>
        <w:rPr>
          <w:color w:val="000000"/>
          <w:sz w:val="24"/>
          <w:szCs w:val="24"/>
        </w:rPr>
        <w:br/>
        <w:t xml:space="preserve">Vizsgálataink során 428 SM beteg és 831 egészséges kontroll személy DNS mintáin Taqman próbás allél diszkriminációs tesztet végeztünk. Eredményeinket az SPSS 20.0 program segítségével statisztikai elemzés alá vetettük.</w:t>
      </w:r>
      <w:r>
        <w:rPr>
          <w:color w:val="000000"/>
          <w:sz w:val="24"/>
          <w:szCs w:val="24"/>
        </w:rPr>
        <w:br/>
        <w:t xml:space="preserve">Nem tapasztaltunk szignifikáns eltérést a genotípus (p=0,568) és allél gyakoriságokban (p=0,525) a beteg és a kontroll csoport között, továbbá a deléció megléte nem befolyásolta az EDDS pontszámot vagy a betegségkezdetet. Környezeti tényezők, mint a dohányzás, alkoholfogyasztás és a testtömeg-index kombinált vizsgálatban a deléciós és a vad alléllal sem befolyásolta a betegségkezdetet vagy az EDSS pontszámot.</w:t>
      </w:r>
      <w:r>
        <w:rPr>
          <w:color w:val="000000"/>
          <w:sz w:val="24"/>
          <w:szCs w:val="24"/>
        </w:rPr>
        <w:br/>
        <w:t xml:space="preserve">Az eredmények tükrében kijelenthető, hogy a CCR5Δ32 nem játszik szerepet az SM pathomechanizmusában, sem rizikó faktorként, sem protektív tényezőként nem jellemezhető.</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690583">
    <w:multiLevelType w:val="hybridMultilevel"/>
    <w:lvl w:ilvl="0" w:tplc="327709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690583">
    <w:abstractNumId w:val="556905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89891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