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MOLNÁR</w:t>
            </w:r>
          </w:p>
          <w:p w:rsidR="00C275A3" w:rsidRDefault="00A96AEC" w:rsidP="00C275A3">
            <w:pPr>
              <w:pStyle w:val="Hallgatokepzes"/>
            </w:pPr>
            <w:r>
              <w:t>Biology</w:t>
            </w:r>
            <w:r>
              <w:br/>
            </w:r>
            <w:r w:rsidR="00E77B23">
              <w:t>BSc, 8.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Bencsik MD</w:t>
            </w:r>
          </w:p>
          <w:p w:rsidR="00DB4822" w:rsidRDefault="00DB4822" w:rsidP="00E11062">
            <w:pPr>
              <w:pStyle w:val="Konzulensek"/>
            </w:pPr>
            <w:r w:rsidRPr="00DB4822">
              <w:t>associate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roles of chemokines in multiple sclerosis: Investigation of CCR5Δ32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Multiple sclerosis (MS) is a chronic, progressive neurodegenerative disease, which is characterized by changes in conductivity of neurons. It has extremely high clinical and pathological heterogeneity, thus its exact pathomechanism is barely known.</w:t>
      </w:r>
      <w:r>
        <w:rPr>
          <w:color w:val="000000"/>
          <w:sz w:val="24"/>
          <w:szCs w:val="24"/>
        </w:rPr>
        <w:br/>
        <w:t xml:space="preserve">Cytokines play an important role in MS, as being an autoimmune disease. Autoaggressive T-cells, which destroy the myelin sheath of nerve cells, use chemokines to communicate with each other. These molecules are responsible for targeting leukocytes to inflammatory site. When the blood-brain barrier is disrupted, mononuclear cells can enter the central nervous system. Neurons and microglia in the brain express CC chemokine receptor 5 (CCR5) on their cell surface. On the other hand, large amount of its ligand CCL5 is released in cerebrospinal fluid and lesions of patients with MS. Although polymorphism of CCR5 has been studied in several countries, conflicting results were found about the role of a 32-basepair deletion in its gene in MS. In some studies, the allele was concluded to be a risk factor, whereas in others it seemed to be a protective factor, and there are results indicating that there is no connection between this mutation and MS.</w:t>
      </w:r>
      <w:r>
        <w:rPr>
          <w:color w:val="000000"/>
          <w:sz w:val="24"/>
          <w:szCs w:val="24"/>
        </w:rPr>
        <w:br/>
        <w:t xml:space="preserve">In our study, Taqman probe-based allelic discrimination assay was carried out on DNA samples collected from 428 MS patients and 831 healthy controls. For evaluation of data, SPSS 20.0 program was used.</w:t>
      </w:r>
      <w:r>
        <w:rPr>
          <w:color w:val="000000"/>
          <w:sz w:val="24"/>
          <w:szCs w:val="24"/>
        </w:rPr>
        <w:br/>
        <w:t xml:space="preserve">There was no significant difference between the MS patients and healthy volunteers in either the genotypes (p=0,568) or allele frequency (p=0,525). Furthermore no significant association was found between the rs333 polymorphism and the EDSS score or the age at onset. Environmental factors, such as smoking, alcohol consumption and body mass index was examined in the MS patients, but none of these combinations proved to be significant in relation to the EDSS score or the age at onset.</w:t>
      </w:r>
      <w:r>
        <w:rPr>
          <w:color w:val="000000"/>
          <w:sz w:val="24"/>
          <w:szCs w:val="24"/>
        </w:rPr>
        <w:br/>
        <w:t xml:space="preserve">Our results show a lack of association between CCR5∆32 and MS pathomechanism, and the deletion cannot be described either as a risk factor, or as a protective factor.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73335">
    <w:multiLevelType w:val="hybridMultilevel"/>
    <w:lvl w:ilvl="0" w:tplc="75120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73335">
    <w:abstractNumId w:val="132733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0374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