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KOZSUP MÁTÉ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Buglyó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[Pd(en)(H2O)2]2+ és hidroxámsavak kölcsönhatásának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ciszplatin;palládium;szilárd fázis;[M3A2H-2]2+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ciszplatin antitumor hatása régóta ismeretes, ezért a Pt(II) koordinációs kémiai sajátságait széles körben vizsgálják. A Pt(II) ezen típusú reakciói azonban lassúak, ezért a hasonló tulajdonságokkal rendelkező, de 4-5 nagyságrenddel gyorsabb ligandumcserére képes Pd(II)-t használják a Pt(II) modellezésére. A hidroxámsavak jó fémion megkötő sajátságuk miatt enzim inhibitorok, ezért alkalmasak lehetnek antitumor hatás kifejtésére.</w:t>
      </w:r>
      <w:r>
        <w:rPr>
          <w:color w:val="000000"/>
          <w:sz w:val="24"/>
          <w:szCs w:val="24"/>
        </w:rPr>
        <w:br/>
        <w:t xml:space="preserve">A Tanszéken már korábban vizsgálták a Pd(II) – hidroxámsav rendszerek koncentráció eloszlását a pH függvényében, pH potenciometriás és NMR módszerekkel. Munkám célja volt ezen oldategyensúlyi vizsgálatok kiegészítése ESI-MS mérések alkalmazásával, valamint a korábbi eredmények alapján feltételezett szerkezetű komplexek szilárd fázisú előállítása és azok vizsgálata.</w:t>
      </w:r>
      <w:r>
        <w:rPr>
          <w:color w:val="000000"/>
          <w:sz w:val="24"/>
          <w:szCs w:val="24"/>
        </w:rPr>
        <w:br/>
        <w:t xml:space="preserve">Az oldategyensúlyi vizsgálatok esetén az ESI-MS mérések egyértelműen alátámasztják a korábban feltételezett összetételű komplexek megjelenését. A szekunder hidroxámsavakkal végzett szilárd fázisú kísérletek alapján elmondhatjuk, hogy a kis térkitöltésű szubsztituensekkel rendelkező MeAha esetén komplexképződés helyett redoxi reakció játszódott le, melyben a Pd(II) ion fém palládiummá redukálódott. A MeBha esetén nem képződött egységes komplex. PhBha alkalmazásával [MA]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 összetételű tiszta komplex keletkezett, melyben a Pd(II) a hidroxamáthoz (O,O) koordinációval kapcsolódott. Ennek oka a ligandumban lévő két fenil-csoport nagy térkitöltése.</w:t>
      </w:r>
      <w:r>
        <w:rPr>
          <w:color w:val="000000"/>
          <w:sz w:val="24"/>
          <w:szCs w:val="24"/>
        </w:rPr>
        <w:br/>
        <w:t xml:space="preserve">Primer hidroxámsavak esetén ezen tapasztalatok alapján a nagyobb térkitöltésű BhaH-t választottuk a kísérletekhez. Ebben az esetben is próbálkoztunk egymagvú komplex létrehozásával, de a megfelelő pH tartomány és ligandum mennyiség ellenére is a többmagvú komplexek képződése volt a preferált. A kétmagvú komplex esetén a keletkezett szilárd anyag nem volt egységes. Az [M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-2</w:t>
      </w:r>
      <w:r>
        <w:rPr>
          <w:color w:val="000000"/>
          <w:sz w:val="24"/>
          <w:szCs w:val="24"/>
        </w:rPr>
        <w:t xml:space="preserve">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szerkezetű hárommagvú komplex vizes és metanolos közegből egyaránt előállítható volt. 1H NMR mérések alapján a komplex vegyes ellenionnal, azaz egy Bha</w:t>
      </w:r>
      <w:r>
        <w:rPr>
          <w:color w:val="000000"/>
          <w:position w:val="4"/>
          <w:sz w:val="21"/>
          <w:szCs w:val="21"/>
          <w:vertAlign w:val="superscript"/>
        </w:rPr>
        <w:t xml:space="preserve">-</w:t>
      </w:r>
      <w:r>
        <w:rPr>
          <w:color w:val="000000"/>
          <w:sz w:val="24"/>
          <w:szCs w:val="24"/>
        </w:rPr>
        <w:t xml:space="preserve">-al és egy BF</w:t>
      </w:r>
      <w:r>
        <w:rPr>
          <w:color w:val="000000"/>
          <w:position w:val="-4"/>
          <w:sz w:val="21"/>
          <w:szCs w:val="21"/>
          <w:vertAlign w:val="subscript"/>
        </w:rPr>
        <w:t xml:space="preserve">4</w:t>
      </w:r>
      <w:r>
        <w:rPr>
          <w:color w:val="000000"/>
          <w:position w:val="4"/>
          <w:sz w:val="21"/>
          <w:szCs w:val="21"/>
        </w:rPr>
        <w:t xml:space="preserve">-</w:t>
      </w:r>
      <w:r>
        <w:rPr>
          <w:color w:val="000000"/>
          <w:sz w:val="24"/>
          <w:szCs w:val="24"/>
        </w:rPr>
        <w:t xml:space="preserve">-al kristályosodott. A komplexet metanolból átkristályosítva szobahőmérsékleten egykristály keletkezett, amelynek röntgendifrakciós vizsgálata alátámasztotta a hárommagvú komplex szerkezetét. Eszerint két [Pd(en)]</w:t>
      </w:r>
      <w:r>
        <w:rPr>
          <w:color w:val="000000"/>
          <w:position w:val="4"/>
          <w:sz w:val="21"/>
          <w:szCs w:val="21"/>
          <w:vertAlign w:val="superscript"/>
        </w:rPr>
        <w:t xml:space="preserve">2+</w:t>
      </w:r>
      <w:r>
        <w:rPr>
          <w:color w:val="000000"/>
          <w:sz w:val="24"/>
          <w:szCs w:val="24"/>
        </w:rPr>
        <w:t xml:space="preserve"> egység (O,O) egy pedig (N,N) koordinációval kapcsolódik a két hidroxamát ligandumhoz.</w:t>
      </w:r>
      <w:r>
        <w:rPr>
          <w:color w:val="000000"/>
          <w:sz w:val="24"/>
          <w:szCs w:val="24"/>
        </w:rPr>
        <w:br/>
        <w:t xml:space="preserve">Eredményeink azt támasztják alá, hogy a „lágy” sajátságú Pd(II) szilárd fázisban is erős kölcsönhatásra képes primer hidroxámsavakkal azok O és N donoratomjához való koordinálódással.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039224">
    <w:multiLevelType w:val="hybridMultilevel"/>
    <w:lvl w:ilvl="0" w:tplc="972692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039224">
    <w:abstractNumId w:val="130392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0697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