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NAGY</w:t>
            </w:r>
          </w:p>
          <w:p w:rsidR="00C275A3" w:rsidRDefault="00A96AEC" w:rsidP="00C275A3">
            <w:pPr>
              <w:pStyle w:val="Hallgatokepzes"/>
            </w:pPr>
            <w:r>
              <w:t>chemistry</w:t>
            </w:r>
            <w:r>
              <w:br/>
            </w:r>
            <w:r w:rsidR="00E77B23">
              <w:t>BSc, 6.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Péter Buglyó PhD</w:t>
            </w:r>
          </w:p>
          <w:p w:rsidR="00DB4822" w:rsidRDefault="00DB4822" w:rsidP="00BA6BAF">
            <w:pPr>
              <w:pStyle w:val="Konzulensektitulus"/>
            </w:pPr>
            <w:r w:rsidRPr="00DB4822">
              <w:t> 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interaction between Pb(II) and maltol or DHP</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pH-potentiometric; complex; NMR; toxic metal ion</w:t>
      </w:r>
      <w:r>
        <w:t xml:space="preserve"/>
      </w: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The lead(II)ion is known as toxic in its soluble compounds. Therefore a considerable effort exists to develope selective ligands having low toxicity and capable of binding the metal ion tightly and selectively. Intensive research has been carried out in this field and several (O,O) donor ligands are also considered as lead(II) chelators. These previous results show that some of these ligands might be succesful candidates as lead(II) binders.</w:t>
      </w:r>
      <w:r>
        <w:rPr>
          <w:color w:val="000000"/>
          <w:sz w:val="24"/>
          <w:szCs w:val="24"/>
        </w:rPr>
        <w:br/>
        <w:t xml:space="preserve">The aim of my work was to study the interaction between some model (O,O) donors and Pb(II) ion. The applied maltol is a non-toxic compound and used as food additive. The DHP is a pyridinone derivative and used in human therapy as iron(III) chelator. The interaction with Pb(II) was studied using three methods, pH-potentiometric, NMR and ESI-MS techniques.</w:t>
      </w:r>
      <w:r>
        <w:rPr>
          <w:color w:val="000000"/>
          <w:sz w:val="24"/>
          <w:szCs w:val="24"/>
        </w:rPr>
        <w:br/>
        <w:t xml:space="preserve">Our results show that both of these ligands form high stability complexes with the metal ion and hydrolysis of lead(II) under physiological pH is negligible. Evaluation of the titration curves yielded a model with [MA]</w:t>
      </w:r>
      <w:r>
        <w:rPr>
          <w:color w:val="000000"/>
          <w:position w:val="4"/>
          <w:sz w:val="21"/>
          <w:szCs w:val="21"/>
          <w:vertAlign w:val="superscript"/>
        </w:rPr>
        <w:t xml:space="preserve">+</w:t>
      </w:r>
      <w:r>
        <w:rPr>
          <w:color w:val="000000"/>
          <w:sz w:val="24"/>
          <w:szCs w:val="24"/>
        </w:rPr>
        <w:t xml:space="preserve"> , [MA</w:t>
      </w:r>
      <w:r>
        <w:rPr>
          <w:color w:val="000000"/>
          <w:position w:val="-4"/>
          <w:sz w:val="21"/>
          <w:szCs w:val="21"/>
          <w:vertAlign w:val="subscript"/>
        </w:rPr>
        <w:t xml:space="preserve">2</w:t>
      </w:r>
      <w:r>
        <w:rPr>
          <w:color w:val="000000"/>
          <w:sz w:val="24"/>
          <w:szCs w:val="24"/>
        </w:rPr>
        <w:t xml:space="preserve">] and [MAH</w:t>
      </w:r>
      <w:r>
        <w:rPr>
          <w:color w:val="000000"/>
          <w:position w:val="-4"/>
          <w:sz w:val="21"/>
          <w:szCs w:val="21"/>
          <w:vertAlign w:val="subscript"/>
        </w:rPr>
        <w:t xml:space="preserve">-1</w:t>
      </w:r>
      <w:r>
        <w:rPr>
          <w:color w:val="000000"/>
          <w:sz w:val="24"/>
          <w:szCs w:val="24"/>
        </w:rPr>
        <w:t xml:space="preserve">] species which contain one and two (O,O) chelated ligands. The potentiometric model has been supported by NMR and ESI-MS results. The fast exchange of the ligands in the complexes has been indicated by the averaged signals of the complexes in the NMR spectra. This means that the lead(II) species are labile and, although they are characterized by high thermodynamic stability, due to the kinetic labileness these applied chelators are likely not completely suitable for the removal of lead(II) from the body.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60093">
    <w:multiLevelType w:val="hybridMultilevel"/>
    <w:lvl w:ilvl="0" w:tplc="21990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60093">
    <w:abstractNumId w:val="13760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5570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