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OZSVÁTH ANDRÁS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Buglyó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ólom(II)ionok kölcsönhatásának vizsgálata peptidhidroxámsavakkal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oldategyensúly; Pb(II); stabilitási állandó; koordinációs 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ólom(II)ionok kölcsönhatását vizsgáltam két dipeptidhidroxámsavval, az AlaAlaNHOH-val és az AlaAlaN(Me)OH-val, pH-potenciometriás,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spektroszkópiás és ESI-MS spektrometriás módszerek segítségével. Mivel korábbi vizsgálatok nem mutattak erős kölcsönhatást az igen mérgező ólom(II)ionok és monohidroxámsavak között, ezért jelen munkában a dipeptidhidroxámsavakkal végeztünk vizsgálatokat, melyek az oxigén donoratomokon túl „lágyabb” jellegű nitrogén atomokat is tartalmaznak. Mivel a szekunder származék nem állt rendelkezésünkre, ezért azt mi magunk állítottuk elő.</w:t>
      </w:r>
      <w:r>
        <w:rPr>
          <w:color w:val="000000"/>
          <w:sz w:val="24"/>
          <w:szCs w:val="24"/>
        </w:rPr>
        <w:br/>
        <w:t xml:space="preserve">A pH-potencimetriás eredmények alapján két modellt feltételeztünk attól függően, hogy [PbA]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vagy [Pb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komplex keletkezik-e. Ennek eldöntésére ESI-MS vizsgálatokat végeztünk különböző pH-jú rendszereken, és azt kaptuk, hogy keletkezik [PbA]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komplex, de jelen van a [Pb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is. Összhangban a pH-potenciometriás modellel,</w:t>
      </w:r>
      <w:r>
        <w:rPr>
          <w:color w:val="000000"/>
          <w:position w:val="4"/>
          <w:sz w:val="21"/>
          <w:szCs w:val="21"/>
          <w:vertAlign w:val="superscript"/>
        </w:rPr>
        <w:t xml:space="preserve"> 1</w:t>
      </w:r>
      <w:r>
        <w:rPr>
          <w:color w:val="000000"/>
          <w:sz w:val="24"/>
          <w:szCs w:val="24"/>
        </w:rPr>
        <w:t xml:space="preserve">H-NMR mérésekkel kimutattuk, hogy 1:1 fémion-ligandum arány mellett pH = 4 fölött a [PbAH]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komplexben hidroxamát kelát alakul ki, majd pH = 7 fölött [N</w:t>
      </w:r>
      <w:r>
        <w:rPr>
          <w:color w:val="000000"/>
          <w:position w:val="-4"/>
          <w:sz w:val="21"/>
          <w:szCs w:val="21"/>
          <w:vertAlign w:val="subscript"/>
        </w:rPr>
        <w:t xml:space="preserve">amino</w:t>
      </w:r>
      <w:r>
        <w:rPr>
          <w:color w:val="000000"/>
          <w:sz w:val="24"/>
          <w:szCs w:val="24"/>
        </w:rPr>
        <w:t xml:space="preserve">,O</w:t>
      </w:r>
      <w:r>
        <w:rPr>
          <w:color w:val="000000"/>
          <w:position w:val="-4"/>
          <w:sz w:val="21"/>
          <w:szCs w:val="21"/>
          <w:vertAlign w:val="subscript"/>
        </w:rPr>
        <w:t xml:space="preserve">karbonil</w:t>
      </w:r>
      <w:r>
        <w:rPr>
          <w:color w:val="000000"/>
          <w:sz w:val="24"/>
          <w:szCs w:val="24"/>
        </w:rPr>
        <w:t xml:space="preserve">] kötésmód is detektálható, ami azt támasztja alá, hogy a hidroxamát kötésmódú [PbA]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mellett [Pb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is megjelenik. A „B” modellnek megfelelő koncentráció-eloszlási görbék ábrázolása után láthatóvá vált, hogy a pH-potenciometria, valamint a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spektroszkópia összhangban van egymással, ezért a „B”modell helyességét feltételezhetjük.</w:t>
      </w:r>
      <w:r>
        <w:rPr>
          <w:color w:val="000000"/>
          <w:sz w:val="24"/>
          <w:szCs w:val="24"/>
        </w:rPr>
        <w:br/>
        <w:t xml:space="preserve">A különböző vizsgálati módszerekkel nyert eredmények alapján összességében elmondható, hogy nem mutatkozott számottevő különbség a primer és szekunder dipeptidhidroxámsavak ólom(II)ion megkötő képessége között. Hidroximát kelát kialakulását egyik rendszer esetén sem tudtuk kimutatni, mint ahogy szintén nem tudtuk igazolni a peptidváz koordinációját sem. Továbbá a vizsgálatok során arra is fény derült, hogy a peptidváz jelenléte nem eredményezi stabilabb ólom(II) komplexek kialakulását a monohidroxámsavakhoz képest.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44975">
    <w:multiLevelType w:val="hybridMultilevel"/>
    <w:lvl w:ilvl="0" w:tplc="25288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44975">
    <w:abstractNumId w:val="47344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716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