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PÓTA KRISTÓF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Tircsó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Kálmán Ferenc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[Mn(PhDTA)]2- -komplex egyensúlyi, kinetikai és relaxációs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Mágneses Rezonanciás Képalkotás (MRI); kontrasztanyagok; paramágneses fémionok; biogén fémionok; komplexkémiai jellemzés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-alapú kontrasztanyagok fejlesztése az elmúlt néhány évben jelentősen megélénkült, ami 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biogén voltának tudható be. 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 komplexálására alkalmas komplexképzők megtervezése/előállítása tekintetében a merev nyíltláncú és az előrendezett makrociklusos ligandumok egyaránt érdekesek lehetnek. Az EDTA komplexképző etiléndiamin „gerincét” orto-feniléndiaminnal helyettesítve egy, a CDTA komplexképzőnél is merevebb ligandumot állítottunk elő irodalmi adatok alapján (1. ábra) és vizsgáltuk a biogén fémionokkal képződő komplexeit, ill. a [Mn(PhDTA)]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-komplex egyensúlyi, kinetikai és relaxációs tulajdonságait. Az aromáscsoport elektronszívó hatásának eredményeként a PhDTA ligandum összbázicitása az EDTA-éhoz mérten jelentősen csökken, ami a vizsgált komplexek stabilitásának csökkenését eredményezi, ugyanakkor a [Mn(PhDTA)]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-komplex látszólagos stabilitása csak kis mértékben változik. A komplex relaxivitása is megegyezik a [Mn(CDTA)]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-komplexre publikált értékkel (r</w:t>
      </w:r>
      <w:r>
        <w:rPr>
          <w:color w:val="000000"/>
          <w:position w:val="-4"/>
          <w:sz w:val="21"/>
          <w:szCs w:val="21"/>
          <w:vertAlign w:val="subscript"/>
        </w:rPr>
        <w:t xml:space="preserve">1p</w:t>
      </w:r>
      <w:r>
        <w:rPr>
          <w:color w:val="000000"/>
          <w:sz w:val="24"/>
          <w:szCs w:val="24"/>
        </w:rPr>
        <w:t xml:space="preserve"> = 3,6 mM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)[1], de a Cu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fémionnal végzett kinetikai vizsgálatok alapján a komplex fiziológiás pH-n (pH = 7,4) és 25 °C-on 23,3 órás felezési idővel rendelkezik, ami közel a kétszerese a [Mn(CDTA)]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-komplex esetére megállapított értéknek. A termodinamikai, relaxációs és kinetikai paraméterek tekintetétben a [Mn(PhDTA)]</w:t>
      </w:r>
      <w:r>
        <w:rPr>
          <w:color w:val="000000"/>
          <w:position w:val="4"/>
          <w:sz w:val="21"/>
          <w:szCs w:val="21"/>
          <w:vertAlign w:val="superscript"/>
        </w:rPr>
        <w:t xml:space="preserve">2-</w:t>
      </w:r>
      <w:r>
        <w:rPr>
          <w:color w:val="000000"/>
          <w:sz w:val="24"/>
          <w:szCs w:val="24"/>
        </w:rPr>
        <w:t xml:space="preserve">-komplex jelentős előrelépést jelent a klinikai gyakorlatban is alkalmazható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-alapú MRI kontrasztanyagok felé, de a ligandumok szerkezetét illetően további fejlesztésekre van még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736800" cy="590400"/>
            <wp:docPr id="82596871" name="name154650f0825e4a" descr="imgtmp_2952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529_hu_1.gif"/>
                    <pic:cNvPicPr/>
                  </pic:nvPicPr>
                  <pic:blipFill>
                    <a:blip r:embed="rId154650f0825de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6800" cy="59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ábra. A 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EDTA, 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CDTA és 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PhDTA ligandumok szerkezete.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F. K. Kálmán, Gy. Tircsó, Inorg. Chem., 2012, 51 (19), 10065.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17978">
    <w:multiLevelType w:val="hybridMultilevel"/>
    <w:lvl w:ilvl="0" w:tplc="57465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17978">
    <w:abstractNumId w:val="44417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780783" Type="http://schemas.openxmlformats.org/officeDocument/2006/relationships/numbering" Target="numbering.xml"/><Relationship Id="rId154650f0825ded" Type="http://schemas.openxmlformats.org/officeDocument/2006/relationships/image" Target="media/imgrId154650f0825de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