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PÓTA</w:t>
            </w:r>
          </w:p>
          <w:p w:rsidR="00C275A3" w:rsidRDefault="00A96AEC" w:rsidP="00C275A3">
            <w:pPr>
              <w:pStyle w:val="Hallgatokepzes"/>
            </w:pPr>
            <w:r>
              <w:t>Chemistry</w:t>
            </w:r>
            <w:r>
              <w:br/>
            </w:r>
            <w:r w:rsidR="00E77B23">
              <w:t>BSc, 6.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Tircsó</w:t>
            </w:r>
          </w:p>
          <w:p w:rsidR="00DB4822" w:rsidRDefault="00DB4822" w:rsidP="00E11062">
            <w:pPr>
              <w:pStyle w:val="Konzulensek"/>
            </w:pPr>
            <w:r w:rsidRPr="00DB4822">
              <w:t>assistant professor, DE TTK</w:t>
            </w:r>
          </w:p>
        </w:tc>
      </w:tr>
      <w:tr w:rsidR="00DB4822" w:rsidTr="00DB4822">
        <w:tc>
          <w:tcPr>
            <w:tcW w:w="9854" w:type="dxa"/>
          </w:tcPr>
          <w:p w:rsidR="00DB4822" w:rsidRPr="00DB4822" w:rsidRDefault="00DB4822" w:rsidP="004D7940">
            <w:pPr>
              <w:pStyle w:val="Konzulensek"/>
            </w:pPr>
            <w:r w:rsidRPr="00DB4822">
              <w:t>Dr. Ferenc Krisztián Kálmán</w:t>
            </w:r>
          </w:p>
          <w:p w:rsidR="00DB4822" w:rsidRDefault="00DB4822" w:rsidP="00E11062">
            <w:pPr>
              <w:pStyle w:val="Konzulensek"/>
            </w:pPr>
            <w:r w:rsidRPr="00DB4822">
              <w:t>research fellow,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Equilibrium, kinetic and relaxometric properties of the [Mn(PhDTA)]2- complex</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Magnetic Resonance Imaging (MRI); contrast agents; paramagnetic metal ions; biogenic metal ions; complexometric characterization</w:t>
      </w:r>
      <w:r>
        <w:t xml:space="preserve"/>
      </w:r>
    </w:p>
    <w:p>
      <w:pPr>
        <w:widowControl w:val="on"/>
        <w:pBdr/>
        <w:spacing w:before="240" w:after="240" w:line="240" w:lineRule="auto"/>
        <w:ind w:left="0" w:right="0"/>
        <w:jc w:val="left"/>
      </w:pPr>
      <w:r>
        <w:rPr>
          <w:color w:val="000000"/>
          <w:sz w:val="24"/>
          <w:szCs w:val="24"/>
        </w:rPr>
        <w:t xml:space="preserve">The present work was dedicated to the determination of the stability and protonation constants of the PhDTA ligand (an aromatic amine derived chelating agent) and its complexes formed with biogenic metal ions (Ca</w:t>
      </w:r>
      <w:r>
        <w:rPr>
          <w:color w:val="000000"/>
          <w:position w:val="4"/>
          <w:sz w:val="21"/>
          <w:szCs w:val="21"/>
          <w:vertAlign w:val="superscript"/>
        </w:rPr>
        <w:t xml:space="preserve">2+</w:t>
      </w:r>
      <w:r>
        <w:rPr>
          <w:color w:val="000000"/>
          <w:sz w:val="24"/>
          <w:szCs w:val="24"/>
        </w:rPr>
        <w:t xml:space="preserve">, Mg</w:t>
      </w:r>
      <w:r>
        <w:rPr>
          <w:color w:val="000000"/>
          <w:position w:val="4"/>
          <w:sz w:val="21"/>
          <w:szCs w:val="21"/>
          <w:vertAlign w:val="superscript"/>
        </w:rPr>
        <w:t xml:space="preserve">2+</w:t>
      </w:r>
      <w:r>
        <w:rPr>
          <w:color w:val="000000"/>
          <w:sz w:val="24"/>
          <w:szCs w:val="24"/>
        </w:rPr>
        <w:t xml:space="preserve">, Zn</w:t>
      </w:r>
      <w:r>
        <w:rPr>
          <w:color w:val="000000"/>
          <w:position w:val="4"/>
          <w:sz w:val="21"/>
          <w:szCs w:val="21"/>
          <w:vertAlign w:val="superscript"/>
        </w:rPr>
        <w:t xml:space="preserve">2+</w:t>
      </w:r>
      <w:r>
        <w:rPr>
          <w:color w:val="000000"/>
          <w:sz w:val="24"/>
          <w:szCs w:val="24"/>
        </w:rPr>
        <w:t xml:space="preserve">, Cu</w:t>
      </w:r>
      <w:r>
        <w:rPr>
          <w:color w:val="000000"/>
          <w:position w:val="4"/>
          <w:sz w:val="21"/>
          <w:szCs w:val="21"/>
          <w:vertAlign w:val="superscript"/>
        </w:rPr>
        <w:t xml:space="preserve">2+</w:t>
      </w:r>
      <w:r>
        <w:rPr>
          <w:color w:val="000000"/>
          <w:sz w:val="24"/>
          <w:szCs w:val="24"/>
        </w:rPr>
        <w:t xml:space="preserve">, Mn</w:t>
      </w:r>
      <w:r>
        <w:rPr>
          <w:color w:val="000000"/>
          <w:position w:val="4"/>
          <w:sz w:val="21"/>
          <w:szCs w:val="21"/>
          <w:vertAlign w:val="superscript"/>
        </w:rPr>
        <w:t xml:space="preserve">2+</w:t>
      </w:r>
      <w:r>
        <w:rPr>
          <w:color w:val="000000"/>
          <w:sz w:val="24"/>
          <w:szCs w:val="24"/>
        </w:rPr>
        <w:t xml:space="preserve">) have been determined with the use of pH-potentiometric and UV-visible spectrophotometric methods. The stability constants were found to be lower compared to the corresponding values of the CDTA complexes. This might be ascribed to the electron withdrawing effect of the ortho-phenylene group.</w:t>
      </w:r>
      <w:r>
        <w:rPr>
          <w:color w:val="000000"/>
          <w:sz w:val="24"/>
          <w:szCs w:val="24"/>
        </w:rPr>
        <w:br/>
        <w:t xml:space="preserve">The decrease of protonation constants of the PhDTA ligand compared to the CDTA ligand resulted in a noticeable decrease in its total basicity which in turn results in lower stability constants as far as the examined metal complexes are concerned. On the contrary one can assume that the conditional stability of the [Mn(PhDTA)]</w:t>
      </w:r>
      <w:r>
        <w:rPr>
          <w:color w:val="000000"/>
          <w:position w:val="4"/>
          <w:sz w:val="21"/>
          <w:szCs w:val="21"/>
          <w:vertAlign w:val="superscript"/>
        </w:rPr>
        <w:t xml:space="preserve">2-</w:t>
      </w:r>
      <w:r>
        <w:rPr>
          <w:color w:val="000000"/>
          <w:sz w:val="24"/>
          <w:szCs w:val="24"/>
        </w:rPr>
        <w:t xml:space="preserve"> and the [Mn(CDTA)]</w:t>
      </w:r>
      <w:r>
        <w:rPr>
          <w:color w:val="000000"/>
          <w:position w:val="4"/>
          <w:sz w:val="21"/>
          <w:szCs w:val="21"/>
          <w:vertAlign w:val="superscript"/>
        </w:rPr>
        <w:t xml:space="preserve">2-</w:t>
      </w:r>
      <w:r>
        <w:rPr>
          <w:color w:val="000000"/>
          <w:sz w:val="24"/>
          <w:szCs w:val="24"/>
        </w:rPr>
        <w:t xml:space="preserve"> complexes approximately the same, as they are both formed at 100% extent at pH = 5.0. The stability constant of the [Cu(PhDTA)]</w:t>
      </w:r>
      <w:r>
        <w:rPr>
          <w:color w:val="000000"/>
          <w:position w:val="4"/>
          <w:sz w:val="21"/>
          <w:szCs w:val="21"/>
          <w:vertAlign w:val="superscript"/>
        </w:rPr>
        <w:t xml:space="preserve">2-</w:t>
      </w:r>
      <w:r>
        <w:rPr>
          <w:color w:val="000000"/>
          <w:sz w:val="24"/>
          <w:szCs w:val="24"/>
        </w:rPr>
        <w:t xml:space="preserve">-complex could not be determined with the use of pH-potentiometry, because the Cu</w:t>
      </w:r>
      <w:r>
        <w:rPr>
          <w:color w:val="000000"/>
          <w:position w:val="4"/>
          <w:sz w:val="21"/>
          <w:szCs w:val="21"/>
          <w:vertAlign w:val="superscript"/>
        </w:rPr>
        <w:t xml:space="preserve">2+</w:t>
      </w:r>
      <w:r>
        <w:rPr>
          <w:color w:val="000000"/>
          <w:sz w:val="24"/>
          <w:szCs w:val="24"/>
        </w:rPr>
        <w:t xml:space="preserve"> ion fully complexed already below pH = 1.2. Hence the stability constant of the given complex was determined by using UV-vis spectrophotometry by following the absorption of the diprotonated complexes as a function of acid (acid concentration rage of 0.01 – 3.00 M was used for this purpose).</w:t>
      </w:r>
      <w:r>
        <w:rPr>
          <w:color w:val="000000"/>
          <w:sz w:val="24"/>
          <w:szCs w:val="24"/>
        </w:rPr>
        <w:br/>
        <w:t xml:space="preserve">To determine the relaxivity and confirm the equilibrium model of the [Mn(PhDTA)]</w:t>
      </w:r>
      <w:r>
        <w:rPr>
          <w:color w:val="000000"/>
          <w:position w:val="4"/>
          <w:sz w:val="21"/>
          <w:szCs w:val="21"/>
          <w:vertAlign w:val="superscript"/>
        </w:rPr>
        <w:t xml:space="preserve">2-</w:t>
      </w:r>
      <w:r>
        <w:rPr>
          <w:color w:val="000000"/>
          <w:sz w:val="24"/>
          <w:szCs w:val="24"/>
        </w:rPr>
        <w:t xml:space="preserve">-complex accessed with the use of pH-potentiometry the pH dependence of the its relaxivity was studied. As a result of the study, we found similar relaxivity for the [Mn(PhDTA)]</w:t>
      </w:r>
      <w:r>
        <w:rPr>
          <w:color w:val="000000"/>
          <w:position w:val="4"/>
          <w:sz w:val="21"/>
          <w:szCs w:val="21"/>
          <w:vertAlign w:val="superscript"/>
        </w:rPr>
        <w:t xml:space="preserve">2-</w:t>
      </w:r>
      <w:r>
        <w:rPr>
          <w:color w:val="000000"/>
          <w:sz w:val="24"/>
          <w:szCs w:val="24"/>
        </w:rPr>
        <w:t xml:space="preserve"> as the value determined for the [Mn(CDTA)]</w:t>
      </w:r>
      <w:r>
        <w:rPr>
          <w:color w:val="000000"/>
          <w:position w:val="4"/>
          <w:sz w:val="21"/>
          <w:szCs w:val="21"/>
          <w:vertAlign w:val="superscript"/>
        </w:rPr>
        <w:t xml:space="preserve">2-</w:t>
      </w:r>
      <w:r>
        <w:rPr>
          <w:color w:val="000000"/>
          <w:sz w:val="24"/>
          <w:szCs w:val="24"/>
        </w:rPr>
        <w:t xml:space="preserve">-complex (r</w:t>
      </w:r>
      <w:r>
        <w:rPr>
          <w:color w:val="000000"/>
          <w:position w:val="-4"/>
          <w:sz w:val="21"/>
          <w:szCs w:val="21"/>
          <w:vertAlign w:val="subscript"/>
        </w:rPr>
        <w:t xml:space="preserve">1</w:t>
      </w:r>
      <w:r>
        <w:rPr>
          <w:color w:val="000000"/>
          <w:sz w:val="24"/>
          <w:szCs w:val="24"/>
        </w:rPr>
        <w:t xml:space="preserve"> = 3.6 mM</w:t>
      </w:r>
      <w:r>
        <w:rPr>
          <w:color w:val="000000"/>
          <w:position w:val="4"/>
          <w:sz w:val="21"/>
          <w:szCs w:val="21"/>
          <w:vertAlign w:val="superscript"/>
        </w:rPr>
        <w:t xml:space="preserve">-1</w:t>
      </w:r>
      <w:r>
        <w:rPr>
          <w:color w:val="000000"/>
          <w:sz w:val="24"/>
          <w:szCs w:val="24"/>
        </w:rPr>
        <w:t xml:space="preserve">s</w:t>
      </w:r>
      <w:r>
        <w:rPr>
          <w:color w:val="000000"/>
          <w:position w:val="4"/>
          <w:sz w:val="21"/>
          <w:szCs w:val="21"/>
          <w:vertAlign w:val="superscript"/>
        </w:rPr>
        <w:t xml:space="preserve">-1</w:t>
      </w:r>
      <w:r>
        <w:rPr>
          <w:color w:val="000000"/>
          <w:sz w:val="24"/>
          <w:szCs w:val="24"/>
        </w:rPr>
        <w:t xml:space="preserve">), and its pH profile confirms the equilibrium model used for the fitting of the titration data.</w:t>
      </w:r>
      <w:r>
        <w:rPr>
          <w:color w:val="000000"/>
          <w:sz w:val="24"/>
          <w:szCs w:val="24"/>
        </w:rPr>
        <w:br/>
        <w:t xml:space="preserve">The results of the metal exchange kinetic studies revealed that the [Mn(PhDTA)]</w:t>
      </w:r>
      <w:r>
        <w:rPr>
          <w:color w:val="000000"/>
          <w:position w:val="4"/>
          <w:sz w:val="21"/>
          <w:szCs w:val="21"/>
          <w:vertAlign w:val="superscript"/>
        </w:rPr>
        <w:t xml:space="preserve">2-</w:t>
      </w:r>
      <w:r>
        <w:rPr>
          <w:color w:val="000000"/>
          <w:sz w:val="24"/>
          <w:szCs w:val="24"/>
        </w:rPr>
        <w:t xml:space="preserve">-complex has slightly higher inertness than the [Mn(CDTA)]</w:t>
      </w:r>
      <w:r>
        <w:rPr>
          <w:color w:val="000000"/>
          <w:position w:val="4"/>
          <w:sz w:val="21"/>
          <w:szCs w:val="21"/>
          <w:vertAlign w:val="superscript"/>
        </w:rPr>
        <w:t xml:space="preserve">2-</w:t>
      </w:r>
      <w:r>
        <w:rPr>
          <w:color w:val="000000"/>
          <w:sz w:val="24"/>
          <w:szCs w:val="24"/>
        </w:rPr>
        <w:t xml:space="preserve">. At physiologic pH and 25 °C the complex possesses a half life of 23.3 hours, on this basis only 6 % of the injected dose will dissociate in the body (considering seven times the 1.6 hour depletion). It has to be emphasized however that at 37 </w:t>
      </w:r>
      <w:r>
        <w:rPr>
          <w:color w:val="000000"/>
          <w:position w:val="4"/>
          <w:sz w:val="21"/>
          <w:szCs w:val="21"/>
          <w:vertAlign w:val="superscript"/>
        </w:rPr>
        <w:t xml:space="preserve">o</w:t>
      </w:r>
      <w:r>
        <w:rPr>
          <w:color w:val="000000"/>
          <w:sz w:val="24"/>
          <w:szCs w:val="24"/>
        </w:rPr>
        <w:t xml:space="preserve">C the extent of the dissociation expected to be somewhat higher, which clearly defines the need for further ligand design and synthesis for Mn</w:t>
      </w:r>
      <w:r>
        <w:rPr>
          <w:color w:val="000000"/>
          <w:position w:val="4"/>
          <w:sz w:val="21"/>
          <w:szCs w:val="21"/>
          <w:vertAlign w:val="superscript"/>
        </w:rPr>
        <w:t xml:space="preserve">2+</w:t>
      </w:r>
      <w:r>
        <w:rPr>
          <w:color w:val="000000"/>
          <w:sz w:val="24"/>
          <w:szCs w:val="24"/>
        </w:rPr>
        <w:t xml:space="preserve"> ion complexation.</w:t>
      </w:r>
    </w:p>
    <w:p>
      <w:pPr>
        <w:widowControl w:val="on"/>
        <w:pBdr/>
        <w:spacing w:before="240" w:after="240" w:line="240" w:lineRule="auto"/>
        <w:ind w:left="0" w:right="0"/>
        <w:jc w:val="left"/>
      </w:pPr>
      <w:r>
        <w:rPr>
          <w:color w:val="000000"/>
          <w:sz w:val="24"/>
          <w:szCs w:val="24"/>
        </w:rPr>
        <w:t xml:space="preserve">Scheme 1. Structures of the ligands studied and discussed in the text</w:t>
      </w:r>
    </w:p>
    <w:p>
      <w:pPr>
        <w:widowControl w:val="on"/>
        <w:pBdr/>
        <w:spacing w:before="240" w:after="240" w:line="240" w:lineRule="auto"/>
        <w:ind w:left="0" w:right="0"/>
        <w:jc w:val="left"/>
      </w:pPr>
      <w:r>
        <w:rPr>
          <w:color w:val="000000"/>
          <w:sz w:val="24"/>
          <w:szCs w:val="24"/>
        </w:rPr>
        <w:drawing>
          <wp:inline distT="0" distB="0" distL="0" distR="0">
            <wp:extent cx="3736800" cy="590400"/>
            <wp:docPr id="79468055" name="name154650f084c5df" descr="imgtmp_29529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529_int_1.gif"/>
                    <pic:cNvPicPr/>
                  </pic:nvPicPr>
                  <pic:blipFill>
                    <a:blip r:embed="rId154650f084c58b" cstate="print"/>
                    <a:stretch>
                      <a:fillRect/>
                    </a:stretch>
                  </pic:blipFill>
                  <pic:spPr>
                    <a:xfrm>
                      <a:off x="0" y="0"/>
                      <a:ext cx="3736800" cy="5904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59674">
    <w:multiLevelType w:val="hybridMultilevel"/>
    <w:lvl w:ilvl="0" w:tplc="41139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59674">
    <w:abstractNumId w:val="915596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798659" Type="http://schemas.openxmlformats.org/officeDocument/2006/relationships/numbering" Target="numbering.xml"/><Relationship Id="rId154650f084c58b" Type="http://schemas.openxmlformats.org/officeDocument/2006/relationships/image" Target="media/imgrId154650f084c58b.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