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VÁRNAGY EMMA</w:t>
            </w:r>
          </w:p>
          <w:p w:rsidR="00C275A3" w:rsidRDefault="00A96AEC" w:rsidP="00C275A3">
            <w:pPr>
              <w:pStyle w:val="Hallgatokepzes"/>
            </w:pPr>
            <w:r>
              <w:t>szociológia</w:t>
            </w:r>
            <w:r>
              <w:br/>
            </w:r>
            <w:r w:rsidR="00E77B23">
              <w:t>BA, 4. félév</w:t>
            </w:r>
          </w:p>
          <w:p w:rsidR="00C265CE" w:rsidRPr="009E5FF1" w:rsidRDefault="00E77B23" w:rsidP="009763E0">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Kovács Kriszta</w:t>
            </w:r>
          </w:p>
          <w:p w:rsidR="00DB4822" w:rsidRDefault="00DB4822" w:rsidP="009763E0">
            <w:pPr>
              <w:pStyle w:val="Konzulensektitulus"/>
            </w:pPr>
            <w:r w:rsidRPr="00DB4822">
              <w:t>egyetemi adjunktus,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Gyűlöletbűncselekmények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Alaptörvénye kimondja, hogy az alapvető jogok mindenkinek bármely megkülönböztetés, nevezetesen faj, szín, nem, fogyatékosság, nyelv, vallás, politikai vagy más vélemény, nemzeti vagy társadalmi származás, vagyoni, születési vagy egyéb helyzet szerinti különbségtétel nélkül biztosítandók. Erre a bekezdésre visszavezethető a kisebbségek védelmének érdekében hozott számos szabály, így a Büntető Törvénykönyvben szereplő Közösség tagja elleni erőszak tényállás is, amely a kisebbségi közösséghez tartozó személyek ellen előítéletből elkövetett, úgynevezett gyűlöletbűncselekmények szankcionálását tartalmazza. </w:t>
      </w:r>
      <w:r>
        <w:rPr>
          <w:color w:val="000000"/>
          <w:sz w:val="24"/>
          <w:szCs w:val="24"/>
        </w:rPr>
        <w:br/>
        <w:br/>
        <w:t xml:space="preserve">Dolgozatom első részében a gyűlöletbűncselekmények jogi hátterét mutatom be, kitérve arra, hogy miért súlyosabb egy előítéletes indokból elkövetett bűncselekmény, mint mások, valamint arra, mi az eltérés a büntetésekben, illetve, hogy miért szükséges a gyűlöletbűncselekmények esetében a szigorúbb büntetés. </w:t>
      </w:r>
      <w:r>
        <w:rPr>
          <w:color w:val="000000"/>
          <w:sz w:val="24"/>
          <w:szCs w:val="24"/>
        </w:rPr>
        <w:br/>
        <w:br/>
        <w:t xml:space="preserve">A továbbiakban a közösség tagja elleni erőszak tényállásáról szóló törvényt mutatom be és annak egy problémás pontját: a sérülékeny csoportok fogalmának a “lakosság egyes csoportjai” kategória bevezetésével való kiterjesztett értelmezését a normaszövegben, amely problémafelvetés egy lehetséges megoldásaként ismertetem a nemzetközi joggyakorlat két megközelítését. Ezek iránymutatást nyújthatnának a magyar jogalkalmazás számára, ám az elmúlt évek bírói gyakorlata azt mutatja, hogy egyik sem kerül következetes alkalmazásra.</w:t>
      </w:r>
      <w:r>
        <w:rPr>
          <w:color w:val="000000"/>
          <w:sz w:val="24"/>
          <w:szCs w:val="24"/>
        </w:rPr>
        <w:br/>
        <w:br/>
        <w:t xml:space="preserve">Dolgozatomban kitérek egy, a Magyar Helsinki Bizottság által kezdeményezett kutatásra is, amely rávilágít a közösség tagja elleni erőszak tényállás alkalmazásában való következetlenségekre. Ezek további szemléltetésére két emblematikus esetet is bemutatok, a miskolci és sajóbábonyi romák esetében, amelyek ügyében a közelmúltban született jogerős ítélet. </w:t>
      </w:r>
      <w:r>
        <w:rPr>
          <w:color w:val="000000"/>
          <w:sz w:val="24"/>
          <w:szCs w:val="24"/>
        </w:rPr>
        <w:br/>
        <w:br/>
        <w:t xml:space="preserve">E két példában a bírói ítélkezésre vonatkozó szabályokat, majd ezek média által a társadalom felé közvetített üzenetét megvizsgálva megállapíthatjuk: az előítéletekkel szembeni küzdelem jogi eszközeit jelenleg a társadalom előítéletek által leginkább megbélyegzett csoportjai ellen alkalmazzuk, amely a média által a köztudatban csak fenntartja illetve tovább mélyíti a társadalmi konfliktusokat és az előítéleteket.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5380">
    <w:multiLevelType w:val="hybridMultilevel"/>
    <w:lvl w:ilvl="0" w:tplc="67398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5380">
    <w:abstractNumId w:val="13045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557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