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VARNAGY</w:t>
            </w:r>
          </w:p>
          <w:p w:rsidR="00C275A3" w:rsidRDefault="00A96AEC" w:rsidP="00C275A3">
            <w:pPr>
              <w:pStyle w:val="Hallgatokepzes"/>
            </w:pPr>
            <w:r>
              <w:t>sociology</w:t>
            </w:r>
            <w:r>
              <w:br/>
            </w:r>
            <w:r w:rsidR="00E77B23">
              <w:t>BA, 4. semester</w:t>
            </w:r>
          </w:p>
          <w:p w:rsidR="00C265CE" w:rsidRPr="009E5FF1" w:rsidRDefault="00E77B23" w:rsidP="009763E0">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Kriszta Kovacs</w:t>
            </w:r>
          </w:p>
          <w:p w:rsidR="00DB4822" w:rsidRDefault="00DB4822" w:rsidP="009763E0">
            <w:pPr>
              <w:pStyle w:val="Konzulensektitulus"/>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Hate crimes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declared in the Constitution of Hungary that everyone shall be secured with the same fundamental rights, regardless of sex, race, color, language, religion, political or other opinion, national or social origin, association with a national minority, property, birth or other status. This paragraph gives the base for many acts which protect minority groups, including the § 216 of the Hungarian Penal Code. This section defines and regulates punishment for hate crimes, ones that are committed against members of vulnerable groups of society and are motivated by prejudice. </w:t>
      </w:r>
    </w:p>
    <w:p>
      <w:pPr>
        <w:widowControl w:val="on"/>
        <w:pBdr/>
        <w:spacing w:before="240" w:after="240" w:line="240" w:lineRule="auto"/>
        <w:ind w:left="0" w:right="0"/>
        <w:jc w:val="left"/>
      </w:pPr>
      <w:r>
        <w:rPr>
          <w:color w:val="000000"/>
          <w:sz w:val="24"/>
          <w:szCs w:val="24"/>
        </w:rPr>
        <w:t xml:space="preserve">In the first part of this paper I will provide an introduction to the legal background of hate crimes, including explaining why this type of criminal offence is more severe than those not motivated by prejudice, how sentencing differs for hate crimes, and what rationale exists for hasher sentences. </w:t>
      </w:r>
    </w:p>
    <w:p>
      <w:pPr>
        <w:widowControl w:val="on"/>
        <w:pBdr/>
        <w:spacing w:before="240" w:after="240" w:line="240" w:lineRule="auto"/>
        <w:ind w:left="0" w:right="0"/>
        <w:jc w:val="left"/>
      </w:pPr>
      <w:r>
        <w:rPr>
          <w:color w:val="000000"/>
          <w:sz w:val="24"/>
          <w:szCs w:val="24"/>
        </w:rPr>
        <w:t xml:space="preserve">Further on in my study I will summarize two international standards with which judicial practice approaches practice hate crime legislation, and I will explain how neither of these practices are applied consistently. The recent revision of the Penal Code extends the definition of vulnerable groups by introducing a category called ‘certain groups of population’ category, which opens up possibilities for problematic interpretations of the law. </w:t>
      </w:r>
    </w:p>
    <w:p>
      <w:pPr>
        <w:widowControl w:val="on"/>
        <w:pBdr/>
        <w:spacing w:before="240" w:after="240" w:line="240" w:lineRule="auto"/>
        <w:ind w:left="0" w:right="0"/>
        <w:jc w:val="left"/>
      </w:pPr>
      <w:r>
        <w:rPr>
          <w:color w:val="000000"/>
          <w:sz w:val="24"/>
          <w:szCs w:val="24"/>
        </w:rPr>
        <w:t xml:space="preserve">I will demonstrate these by analyzing two criminal cases with recent final verdicts, and briefly introduce a study by the Hungarian Helsinki Committee, which sheds further light to the problem. </w:t>
      </w:r>
    </w:p>
    <w:p>
      <w:pPr>
        <w:widowControl w:val="on"/>
        <w:pBdr/>
        <w:spacing w:before="240" w:after="240" w:line="240" w:lineRule="auto"/>
        <w:ind w:left="0" w:right="0"/>
        <w:jc w:val="left"/>
      </w:pPr>
      <w:r>
        <w:rPr>
          <w:color w:val="000000"/>
          <w:sz w:val="24"/>
          <w:szCs w:val="24"/>
        </w:rPr>
        <w:t xml:space="preserve">Having examined rules regarding judicial practice and the message that certain sentences convey to society, I will draw the final conclusion, that the legal instruments aimed at battling adverse biases are severely misused and are currently being applied against the groups that are most stigmatized by prejudice. This, exacerbated by the media, sustains or even deepens social conflicts and discrimination.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42188">
    <w:multiLevelType w:val="hybridMultilevel"/>
    <w:lvl w:ilvl="0" w:tplc="71309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42188">
    <w:abstractNumId w:val="11742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11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