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RENÁTÓ</w:t>
            </w:r>
          </w:p>
          <w:p w:rsidR="00C275A3" w:rsidRDefault="00A96AEC" w:rsidP="00C275A3">
            <w:pPr>
              <w:pStyle w:val="Hallgatokepzes"/>
            </w:pPr>
            <w:r>
              <w:t>Sportszervező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Hédi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Üzleti elemek vizsgálata a DVSC-TEVA működésében, néhány Európai élvonalbeli labdarúgó csapat eredményei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sportgazdaság, sport és üzlet, stratégia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sport alapvetően társadalmi és egészségügyi értékekkel bír, azonban a 20. sz. második felétől a professzionális szegmensében megjelent az üzleti lehetőség is. Európában ez a labdarúgásban figyelhető meg legjobban, a szórakoztatóipar szerves részéve vált. Az Európai Unió ezt a jelenséget felismerve szabályozza a profi futball klubok működését azáltal, hogy gazdasági társaságként kell, működjenek, ezáltal a sportszakmai sikerek gazdasági racionalitás mellett kell, hogy megvalósuljanak. Az Európai Labdarúgó Szövetség ezt erősítve a 2012/13-as szezontól életbe léptette az ún. Financial Fair Playt, amely még inkább az üzleti alapon történő működés irányába fordította a klubokat. Az üzleti alapon történő működésről akkor beszélhetünk, ha egy klub kiadásait öt piacról származó bevételekből fedezik. Ez az öt piac a fogyasztói-, szponzori-, közvetítési jogok-, játékos- valamint merhandise piac.</w:t>
      </w:r>
      <w:r>
        <w:rPr>
          <w:color w:val="000000"/>
          <w:sz w:val="24"/>
          <w:szCs w:val="24"/>
        </w:rPr>
        <w:br/>
        <w:t xml:space="preserve">Vizsgálatomban arra kerestem a választ, hogy a 21. sz. legsikeresebb magyar klubja, a DVSC képes-e üzleti alapon, nyereségesen működni. A kutatásomat dokumentumelemzéssel végeztem, amelynek alapja a DVSC Futball Szervező Zrt. számviteli beszámolói 2008 és 2012 között. A DVSC egyes piacokon elért eredményeit összehasonlítottam külföldi példákkal, hogy összemérhető legyen hol tart a debreceni klub a nemzetközi porondon.</w:t>
      </w:r>
      <w:r>
        <w:rPr>
          <w:color w:val="000000"/>
          <w:sz w:val="24"/>
          <w:szCs w:val="24"/>
        </w:rPr>
        <w:br/>
        <w:t xml:space="preserve">Az eredmények azt bizonyítják, hogy bár a DVSC próbál megfelelni a nemzetközi kihívásoknak és trendeknek, lemaradása mégis óriási a sportszakmai és gazdasági sikerekkel egyaránt büszkélkedhető külföldi csapatokhoz képest. Az üzleti alapú bevételei folyamatos növekedést mutatnak, de az egyes piacokban rejlő hatalmas lehetőségeket nem aknázzák ki megfelelően, ez leginkább a játékos piac esetén figyelhető meg.</w:t>
      </w:r>
      <w:r>
        <w:rPr>
          <w:color w:val="000000"/>
          <w:sz w:val="24"/>
          <w:szCs w:val="24"/>
        </w:rPr>
        <w:br/>
        <w:t xml:space="preserve">A vizsgált öt évben (2008-2012) a DVSC bevételi forrásai kifehéredtek és az üzleti alapú működés irányába fordult a klub működése. A piacról érkező bevételek hektikusan változtak az időszakban és bár látható fejlődés valamint előrelépés, de a debreceni labdarúgó csapat nem képes pusztán üzleti alapú bevételekből fenntartani magát.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112843">
    <w:multiLevelType w:val="hybridMultilevel"/>
    <w:lvl w:ilvl="0" w:tplc="150416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112843">
    <w:abstractNumId w:val="301128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97224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