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LEGÁT CSABA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Tisza Kálmán és a gyülekezési jog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gyülekezési jog történetének egy állomásával foglalkozom, nevezetesen Tisza Kálmán 171/1878. évi BM. sz. rendeletével, és annak keletkezési körülményeivel.</w:t>
      </w:r>
      <w:r>
        <w:rPr>
          <w:color w:val="000000"/>
          <w:sz w:val="24"/>
          <w:szCs w:val="24"/>
        </w:rPr>
        <w:br/>
        <w:t xml:space="preserve">A gyülekezési jog magyarországi kialakulása és fejlődése érdekes módon nem a jogalkotással, hanem a gyülekezési szabadság rendeleti úton történő korlátozásának megfigyelésével ismerhető meg. Az ilyen közjogi korlátozásoknál kimutatható valamilyen bel- vagy külpolitikai ok vagy folyamat, amely a kormányt, a miniszterelnököt vagy valamelyik minisztert rendeletalkotásra sarkallta. Tisza Kálmán 1878-ban a Képviselőház megkerülésével adta ki a gyülekezési jogot jelentősen korlátozó rendeletét, amit a dualista közjogi konstrukció stabilitását szem előtt tartva alkottak meg. A rendeletet a Képviselőház bevonása nélkül, a főispánokon, a kormányzat végrehajtó „kezén” keresztül érvényesítették, hiszen a kormányzati politika a dualizmus idején így jelenhetett meg leghatékonyabban a helyi viszonyokban, összhangban többek között az 1870:XLII. tc-ben biztosított közjogi garanciális rendelkezésekkel. A kormánynak alapvető célja volt, hogy a kiegyezéssel létrejött államszervezeti konstrukciót mindenekfelett megóvja, akár egy alapjog rendeleti úton történő korlátozásával. Kérdésként merülhet fel, hogy a gyülekezési jog korlátozásával a rendelet elérte-e a célját? Az sem zárható ki, hogy Tisza Kálmán a gyülekezési jog korlátozását megindító eseménysort tudatosan provokálta.</w:t>
      </w:r>
      <w:r>
        <w:rPr>
          <w:color w:val="000000"/>
          <w:sz w:val="24"/>
          <w:szCs w:val="24"/>
        </w:rPr>
        <w:br/>
        <w:t xml:space="preserve">Kutatásom során elsődleges forrásként felhasználtam a Képviselőházi Naplók, a Minisztertanácsi Jegyzőkönyvek és a Magyar Királyi Belügyminisztérium elnökségi iratainak, illetőleg Budapest Fővárosi Levéltára Közgyűlési Jegyzőkönyveinek és a Magyar Királyi Államrendőrségnek dolgozatomhoz kapcsolódó anyagait. Másodlagos forrásként a dualizmus államberendezkedésével foglalkozó közjogi irodalmat (pl: Ferdinandy Gejza, Korbuly Imre, Boncz Ferenc Kajtár István és Ruszoly József műveit), a vizsgált korszakhoz kapcsolódó külpolitikai szakirodalmat és a sajtótermékeket (pl: Diószegi István művei, Egyetértés,). A kutatásom külföldi irodalommal történő alátámasztásához használtam a TU Dresden egyetemi könyvtárának állományát is (pl: Andreas Rose és Hans Dollinger műveit).</w:t>
      </w:r>
      <w:r>
        <w:rPr>
          <w:color w:val="000000"/>
          <w:sz w:val="24"/>
          <w:szCs w:val="24"/>
        </w:rPr>
        <w:br/>
        <w:t xml:space="preserve">Dolgozatom célja, hogy bemutassa a gyülekezési jog magyarországi történetének egy állomását, az azt kiváltó kül- és belpolitikai eseményeket, és a fennálló közjogi viszonyok között a miniszterelnök által reakcióként megtett lépéseket a primer és a szekunder források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71902">
    <w:multiLevelType w:val="hybridMultilevel"/>
    <w:lvl w:ilvl="0" w:tplc="11625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71902">
    <w:abstractNumId w:val="60571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870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