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LEGÁT</w:t>
            </w:r>
          </w:p>
          <w:p w:rsidR="00C275A3" w:rsidRDefault="00A96AEC" w:rsidP="00C275A3">
            <w:pPr>
              <w:pStyle w:val="Hallgatokepzes"/>
            </w:pPr>
            <w:r>
              <w:t>Law</w:t>
            </w:r>
            <w:r>
              <w:br/>
            </w:r>
            <w:r w:rsidR="00E77B23">
              <w:t>Unified, 8.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Norbert Varga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Kálmán Tisza and the freedom of assembly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In my paper I investigate a certain stage of the history of freedom of assembly, the 171/1878. BM decree issued by István Tisza, Hungarian prime minister and the circumstances of its introduction in particular.</w:t>
      </w:r>
      <w:r>
        <w:rPr>
          <w:color w:val="000000"/>
          <w:sz w:val="24"/>
          <w:szCs w:val="24"/>
        </w:rPr>
        <w:br/>
        <w:t xml:space="preserve">The emergence and development the right of assembly could be studied not only through analyzing the legislation process but by the history of its restriction. Such public legal restriction usually correlates with internal or external (or both) concerns that stimulate the government, the prime minister or other ministers in this direction.</w:t>
      </w:r>
      <w:r>
        <w:rPr>
          <w:color w:val="000000"/>
          <w:sz w:val="24"/>
          <w:szCs w:val="24"/>
        </w:rPr>
        <w:br/>
        <w:t xml:space="preserve">István Tisza issued his decree, that corresponded to the dual monarchy’s structural practice, about the restriction of assembly without any conciliation with the Parliament of Hungary. The decree was come into force by the hands of the government, the comes (ispán). This channel was the best way for governmental policy to affect local conditions, in accord with the Act 42 of 1870. The government main goal was to defend the dualist state structure by any means, even by restriction of a basic right.</w:t>
      </w:r>
      <w:r>
        <w:rPr>
          <w:color w:val="000000"/>
          <w:sz w:val="24"/>
          <w:szCs w:val="24"/>
        </w:rPr>
        <w:br/>
        <w:t xml:space="preserve">During my research I primarily worked from the Parliamentary Papers, the Cabinet Papers and the Hungarian Royal Home Office presidential papers. I also analyzed the relevant documents of the Budapest Fővárosi Levéltára Közgyűlési Jegyzőkönyvei and Magyar Királyi Államrendőrség. As secondary sources I utilized the literature concerning the dualist state system (Ferdinándy, Korbuly, Ruszoly, Kajtár etc.), the basic works on European diplomacy and contemporary press issues (Egyetértés). I also used the materials of the Library of the University of Dresden for my research.</w:t>
      </w:r>
      <w:r>
        <w:rPr>
          <w:color w:val="000000"/>
          <w:sz w:val="24"/>
          <w:szCs w:val="24"/>
        </w:rPr>
        <w:br/>
        <w:t xml:space="preserve">The aim of my paper is to represent a certain stage of right of assembly in Hungary, its internal and external circumstances, and the steps taken by the prime minister in the context of dualist state structure in light of primary and secondary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11953">
    <w:multiLevelType w:val="hybridMultilevel"/>
    <w:lvl w:ilvl="0" w:tplc="57980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11953">
    <w:abstractNumId w:val="729119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999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