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FARMASI</w:t>
            </w:r>
          </w:p>
          <w:p w:rsidR="00C275A3" w:rsidRDefault="00A96AEC" w:rsidP="00C275A3">
            <w:pPr>
              <w:pStyle w:val="Hallgatokepzes"/>
            </w:pPr>
            <w:r>
              <w:t>American Studies</w:t>
            </w:r>
            <w:r>
              <w:br/>
            </w:r>
            <w:r w:rsidR="00E77B23">
              <w:t>MA, 4.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Ágnes Zsófia Kovács </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Bodylanguage, Bodytext: Corporeal Narratology in Don DeLillo's The Body Artist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present essay I provide an interpretation and examination of Don DeLillo’s 2001 novel, The Body Artist, focusing on character bodies with the help of Daniel Punday’s theory of corporeal narratology. My aim is to find out how the character set of The Body Artist fits in Puday’s model of characterization as well as to investigate the “inaccessible” quality that critics often mention when describing DeLillo texts.</w:t>
      </w:r>
      <w:r>
        <w:rPr>
          <w:color w:val="000000"/>
          <w:sz w:val="24"/>
          <w:szCs w:val="24"/>
        </w:rPr>
        <w:br/>
        <w:t xml:space="preserve">In the DeLillo canon I observe a growing interest simultaneously in corporeality and in experimenting with writing techniques to express what is beyond language: I assume corporeality often surface in the texts and take over the role of signifiers at points where language reaches its limits. In my view, this tendency is notable in several DeLillo novels and it reaches its peak in The Body Artist.</w:t>
      </w:r>
      <w:r>
        <w:rPr>
          <w:color w:val="000000"/>
          <w:sz w:val="24"/>
          <w:szCs w:val="24"/>
        </w:rPr>
        <w:br/>
        <w:t xml:space="preserve">With the help of Punday’s narratological theory, which heavily leans on Maurice Merleau-Ponty’s philosophy, I will conclude that regarding the conditions and limits of bodily perceptions of the characters in The Body Artist there is only one separate body in the text, that of Lauren Hartke, the protagonist, thereby claiming that the figure of Mr. Tuttle is not a separate character but a projection of Lauren.</w:t>
      </w:r>
      <w:r>
        <w:rPr>
          <w:color w:val="000000"/>
          <w:sz w:val="24"/>
          <w:szCs w:val="24"/>
        </w:rPr>
        <w:br/>
        <w:t xml:space="preserve">Considering characterization, Punday defines a character type that he names “general character,” which mediates between the rest of the characters and between text and reader. The general character of The Body Artist is its protagonist. The application of this term highlights the problematic nature of the text and also leads to an answer for my second question: I argue that the functioning of this type of character is impaired by the translinguistic phenomena in the narrative, which, invited by images representing the Kristevan abject (mostly observable in the figure of Mr. Tuttle) make the text fragmented, creating gaps in the body of the text that render it fragmented, incoherent, and occasionally “inaccessible” for the reader.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95679">
    <w:multiLevelType w:val="hybridMultilevel"/>
    <w:lvl w:ilvl="0" w:tplc="58540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95679">
    <w:abstractNumId w:val="11395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6568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