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SZARKA-BÖGÖS</w:t>
            </w:r>
          </w:p>
          <w:p w:rsidR="00C275A3" w:rsidRDefault="00A96AEC" w:rsidP="00C275A3">
            <w:pPr>
              <w:pStyle w:val="Hallgatokepzes"/>
            </w:pPr>
            <w:r>
              <w:t>elementary school teacher</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Déri</w:t>
            </w:r>
          </w:p>
          <w:p w:rsidR="00DB4822" w:rsidRDefault="00DB4822" w:rsidP="00E11062">
            <w:pPr>
              <w:pStyle w:val="Konzulensek"/>
            </w:pPr>
            <w:r w:rsidRPr="00DB4822">
              <w:t>professor's assistant,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Attitude-study in online social spaces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Studying online social networks and their effects on our everyday lives is of fundamental importance for modern social sciences. This paper examines the perception of the effects that online social life has on everyday life. My hypothesis is that differences in attitudes towards this can be interpreted in the framework of digital inequalities.</w:t>
      </w:r>
    </w:p>
    <w:p>
      <w:pPr>
        <w:widowControl w:val="on"/>
        <w:pBdr/>
        <w:spacing w:before="240" w:after="240" w:line="240" w:lineRule="auto"/>
        <w:ind w:left="0" w:right="0"/>
        <w:jc w:val="left"/>
      </w:pPr>
      <w:r>
        <w:rPr>
          <w:color w:val="000000"/>
          <w:sz w:val="24"/>
          <w:szCs w:val="24"/>
        </w:rPr>
        <w:t xml:space="preserve">As first pointed out by Zeynep Tufekci, additionally to access and skills, attitudes towards online sociability are a relevant factor as well, and should be considered the third level of the digital divide [Tufekci, 2012]. Tufekci proposes a scale of online sociability which spans from "cyberasocial" to "hypersocial", the former referring to the inability or reluctance of people to use social media as a means of communication, while the latter being the extreme overrating of its importance.</w:t>
      </w:r>
    </w:p>
    <w:p>
      <w:pPr>
        <w:widowControl w:val="on"/>
        <w:pBdr/>
        <w:spacing w:before="240" w:after="240" w:line="240" w:lineRule="auto"/>
        <w:ind w:left="0" w:right="0"/>
        <w:jc w:val="left"/>
      </w:pPr>
      <w:r>
        <w:rPr>
          <w:color w:val="000000"/>
          <w:sz w:val="24"/>
          <w:szCs w:val="24"/>
        </w:rPr>
        <w:t xml:space="preserve">The paper characterizes typical attitudes related to the third level of the digital divide, using a combination of qualitative and quantitative research methods: in-depth interviews and an online survey carried out among 14-34 years old Hungarians, respectively. The purpose of the in-depth interviews was to highlight some components of the hypersocial and the cyberasocial narratives, and as well to explore the correlation between the attitude towards Internet as a medium, and the activity of the same individuals in online social networking.</w:t>
      </w:r>
    </w:p>
    <w:p>
      <w:pPr>
        <w:widowControl w:val="on"/>
        <w:pBdr/>
        <w:spacing w:before="240" w:after="240" w:line="240" w:lineRule="auto"/>
        <w:ind w:left="0" w:right="0"/>
        <w:jc w:val="left"/>
      </w:pPr>
      <w:r>
        <w:rPr>
          <w:color w:val="000000"/>
          <w:sz w:val="24"/>
          <w:szCs w:val="24"/>
        </w:rPr>
        <w:t xml:space="preserve">The two subjects of the in-depth interviews for the qualitative phase were selected based on a set of guidelines: equivalent sociodemographic status, daily internet usage, and opposite presumptions on the nature of the influence the Internet has on social relationships. The analysis of the interviews focused on the subject's social networks, preferred means of regular communication, the role of the Internet in their lives, and their opinion about online communities. The established positive and negative ideal-typical narratives were than interpreted in the context of the responses of the online survey.</w:t>
      </w:r>
    </w:p>
    <w:p>
      <w:pPr>
        <w:widowControl w:val="on"/>
        <w:pBdr/>
        <w:spacing w:before="240" w:after="240" w:line="240" w:lineRule="auto"/>
        <w:ind w:left="0" w:right="0"/>
        <w:jc w:val="left"/>
      </w:pPr>
      <w:r>
        <w:rPr>
          <w:color w:val="000000"/>
          <w:sz w:val="24"/>
          <w:szCs w:val="24"/>
        </w:rPr>
        <w:t xml:space="preserve">The research has revealed correlation between the individual's activity in online social space and their presumptions towards the role the Internet plays in society, both according to the in-depth interviews and the online survey. The output of the survey showed that the examined sample aligns with the hypothesis that the attitudes correlate with online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59183">
    <w:multiLevelType w:val="hybridMultilevel"/>
    <w:lvl w:ilvl="0" w:tplc="76211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59183">
    <w:abstractNumId w:val="42259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8632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