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KARSAI</w:t>
            </w:r>
          </w:p>
          <w:p w:rsidR="00C275A3" w:rsidRDefault="00A96AEC" w:rsidP="00C275A3">
            <w:pPr>
              <w:pStyle w:val="Hallgatokepzes"/>
            </w:pPr>
            <w:r>
              <w:t>european and international public administration</w:t>
            </w:r>
            <w:r>
              <w:br/>
            </w:r>
            <w:r w:rsidR="00E77B23">
              <w:t>MA, 4.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Balázs Gerencsér, Dr.</w:t>
            </w:r>
          </w:p>
          <w:p w:rsidR="00DB4822" w:rsidRDefault="00DB4822" w:rsidP="009763E0">
            <w:pPr>
              <w:pStyle w:val="Konzulensektitulus"/>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bulb of the government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is the reason of the importance of design in the public administration of nowadays? Why is not enough to think in half or one year terms? How the annual budget and the long-term design relate to each other? Why does the long-term strategy-based design more efficient than the planning? After that what is hidden in the bulb of the government? Is there just unsolvable smoke or a well-founded, long term strategy?</w:t>
      </w:r>
      <w:r>
        <w:rPr>
          <w:color w:val="000000"/>
          <w:sz w:val="24"/>
          <w:szCs w:val="24"/>
        </w:rPr>
        <w:br/>
        <w:t xml:space="preserve">After all these, have these documents bindig force? Is there any sanction for the governemt, if it does not fulfil its obligations?</w:t>
      </w:r>
      <w:r>
        <w:rPr>
          <w:color w:val="000000"/>
          <w:sz w:val="24"/>
          <w:szCs w:val="24"/>
        </w:rPr>
        <w:br/>
        <w:t xml:space="preserve">These are the most important and inevitable questions in relation with the development of public administration that we have to find the answers for.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66026">
    <w:multiLevelType w:val="hybridMultilevel"/>
    <w:lvl w:ilvl="0" w:tplc="76910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66026">
    <w:abstractNumId w:val="117660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996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