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GYALUS MÁRK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É. Kiss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nyomatékosító "is"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magyar "is" partikula egy specifikus használata, amelyre a leginkább a „nyomatékosító is” kifejezés illik.</w:t>
      </w:r>
      <w:r>
        <w:rPr>
          <w:color w:val="000000"/>
          <w:sz w:val="24"/>
          <w:szCs w:val="24"/>
        </w:rPr>
        <w:br/>
        <w:t xml:space="preserve">A dolgozat négy fejezetből áll: a bevezető után az "is" magyar leíró nyelvészeti hagyományban megkülönböztetett három fő típusát ismertetem a szakirodalom alapján. E három típust külön alfejezetekben tárgyalom. Ezt követően a harmadik fejezetben a transzformációs generatív nyelvtan szakirodalmát összegzem, melyet, akárcsak a második fejezetet, külön alfejezetekre bontok a partikula különböző funkciói szerint. Önálló kutatásomat a 3.2 alfejezeten belül helyezem el, ahol először részletesen bemutatom az elemzésem kiindulópontjául szolgáló tanulmányt, majd megfogalmazom a vele kapcsolatos kritikáimat, és végül két új javaslatot teszek a nyomatékosító "is" elemzésére. Dolgozatomat a kutatás összefoglalásával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80000">
    <w:multiLevelType w:val="hybridMultilevel"/>
    <w:lvl w:ilvl="0" w:tplc="86502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80000">
    <w:abstractNumId w:val="50580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03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