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REKA SZABO</w:t>
            </w:r>
          </w:p>
          <w:p w:rsidR="00C275A3" w:rsidRDefault="00A96AEC" w:rsidP="00C275A3">
            <w:pPr>
              <w:pStyle w:val="Hallgatokepzes"/>
            </w:pPr>
            <w:r>
              <w:t>English and American Studies</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Balogne Dr. Berces</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TV as a contributory factor in T-glottalling gaining covert prestige in Glasgow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present work, I would like to provide an overview on Glaswegian language change, mainly shining light on T-glottalling appearing in working-class adolescents’ speech. An unforeseen result as regards the glottal replacement in their reading speech made me reach a conclusion, based on various researchers’ findings, that for this linguistic feature’s being part of a geographical linguistic diffusion experienced throughout the U.K. TV may act as an accelerating factor in this recent phenomenon’s gaining covert prestige in Glasgow. In order to be able to underline my hypothesis, a study on linguistic and social constraints in a series, which appeared to have significance in Glaswegian youngsters’ life, will be presented and its results will be compared to the Glaswegian data in the third chapter. However, before offering my analysis, I will elucidate why I could infer this supposition.</w:t>
      </w:r>
    </w:p>
    <w:p>
      <w:pPr>
        <w:widowControl w:val="on"/>
        <w:pBdr/>
        <w:spacing w:before="240" w:after="240" w:line="240" w:lineRule="auto"/>
        <w:ind w:left="0" w:right="0"/>
        <w:jc w:val="left"/>
      </w:pPr>
      <w:r>
        <w:rPr>
          <w:color w:val="000000"/>
          <w:sz w:val="24"/>
          <w:szCs w:val="24"/>
        </w:rPr>
        <w:br/>
        <w:t xml:space="preserve">Hence, in my entire thesis, attempts and efforts are made to make it comprehensible in what way I could reach the assumption that TV might be a factor in the Glaswegian change. Consequently, in the first chapter, general particulars will be put forward with regard to Glasgow, along with my interpretation of Stuart-Smith’s relevant study (1999), showing the language change undergone between 1973 and 1997 in Glasgow in connection with T-glottalling, while involving my emphasis put on the striking results concerning adolescents. Furthermore, within the framework of this part, an explanation will be provided for adolescents’ linguistically innovative behaviour.</w:t>
      </w:r>
    </w:p>
    <w:p>
      <w:pPr>
        <w:widowControl w:val="on"/>
        <w:pBdr/>
        <w:spacing w:before="240" w:after="240" w:line="240" w:lineRule="auto"/>
        <w:ind w:left="0" w:right="0"/>
        <w:jc w:val="left"/>
      </w:pPr>
      <w:r>
        <w:rPr>
          <w:color w:val="000000"/>
          <w:sz w:val="24"/>
          <w:szCs w:val="24"/>
        </w:rPr>
        <w:br/>
        <w:t xml:space="preserve">Whereas in the first part a necessary base for this paper is provided, in the further chapters, examination of more specific and principal facts in connection with my research questions will be embarked on. So, in the second chapter, I will extend adolescents’ linguistic importance to Glaswegian youngsters, parallel with adding other factors perceived as crucial in examining the local Glaswegian change, and introducing the role of TV in language change. Moreover, Stuart-Smith’s (2013) findings with regard to the correlation between TV and two other phonological features will be dealt with so as to be able to provide a framework for my research. Finally, the goal of my dissertation is achieved in the last chapter, though not by enabling me to give exact statements about this topic, but by giving way to the possibility for conduct of further studies based on well-founded questions.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50219">
    <w:multiLevelType w:val="hybridMultilevel"/>
    <w:lvl w:ilvl="0" w:tplc="30422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50219">
    <w:abstractNumId w:val="32150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405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