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LEVENTE FERENC</w:t>
            </w:r>
          </w:p>
          <w:p w:rsidR="00C275A3" w:rsidRDefault="00A96AEC" w:rsidP="00C275A3">
            <w:pPr>
              <w:pStyle w:val="Hallgatokepzes"/>
            </w:pPr>
            <w:r>
              <w:t>Harcos műszaki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alezredes,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Honvédségben rendszeresített tűzszerész eszközök és azok lehetséges fejlesztési irányai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katonai konfliktusai többnyire aszimmetrikus jellegűek, melyekben egy jelentősen erősebb fél harcol egy sokkal gyengébbel szemben. A gyengébb fél szokatlan eljárásokat foganatosít a siker érdekében, ilyenek például az IED (Improvised Explosive Device = Improvizált robbanó eszközök) támadások, melyek egyre elterjedtebbé válnak. Ezen szemben a tűzszerész katonák fejtenek ki tevékenységeket, melyek során eszközeik fejlettsége nagyban meghatározza feladat végrehajtásuk sikerét.</w:t>
      </w:r>
      <w:r>
        <w:rPr>
          <w:color w:val="000000"/>
          <w:sz w:val="24"/>
          <w:szCs w:val="24"/>
        </w:rPr>
        <w:br/>
        <w:t xml:space="preserve">TDK pályamunkámban, melynek a Magyar Honvédségben rendszeresített tűzszerész eszközök és azok lehetséges fejlesztési irányai címet adtam, alapvetően több nemzet – köztük a magyar – tűzszerész eszközeit mutatom be és hasonlítom össze. Dolgozatom felépítését tekintve négy fő részre oszlik fel. Ezekben a tartalmi egységekben először a tűzszerész tevékenységgel kapcsolatos alapfogalmakról írok, ezután bemutatom a MH 1. Honvéd Tűzszerész és Hadihajós Ezredet és annak felszereléseit, majd a következő fejezetben más nemzetek hadereiben rendszeresített eszközöket, felszereléseket ismertetem, végezetül pedig levont következtetéseimet és a Honvédség tűzszerész eszközeinek lehetséges fejlesztési irányait írom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05732">
    <w:multiLevelType w:val="hybridMultilevel"/>
    <w:lvl w:ilvl="0" w:tplc="99164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05732">
    <w:abstractNumId w:val="19405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200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