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MOLNÁR</w:t>
            </w:r>
          </w:p>
          <w:p w:rsidR="00C275A3" w:rsidRDefault="00A96AEC" w:rsidP="00C275A3">
            <w:pPr>
              <w:pStyle w:val="Hallgatokepzes"/>
            </w:pPr>
            <w:r>
              <w:t>Security and Defense Policy</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Kaiser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energy security in the Chinese strategy, focusing on carbon hydrogens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essay is to review the most important features of the energy dependency of the People’s Republic of China, which evolved with the dynamic economic development in the 20th century.</w:t>
      </w:r>
      <w:r>
        <w:rPr>
          <w:color w:val="000000"/>
          <w:sz w:val="24"/>
          <w:szCs w:val="24"/>
        </w:rPr>
        <w:br/>
        <w:t xml:space="preserve">The study mainly focuses on the aspects of the carbon hydrogen dependence, meanwhile also focusing on the energy security’s role in Beijing’s „grand” strategy, that I analyse based on various strategic documents. After a brief discussion about the history of the economy I will examine the trends of the Chinese energy sector and its current state, concentrating on the changing ratios of carbon hydrogen production and import.</w:t>
      </w:r>
      <w:r>
        <w:rPr>
          <w:color w:val="000000"/>
          <w:sz w:val="24"/>
          <w:szCs w:val="24"/>
        </w:rPr>
        <w:br/>
        <w:t xml:space="preserve">The paper also includes the most important stages of method searching of the Chinese politics' in order to tackle its energy dependency, which are the main targets of the Chinese interest sphere’s current growth. I will briefly introduce the spread of the Chinese influence in Africa, relating to the CPC’s energy policy. Then, in the next chapter there will be a few words about the Indian-ocean and as well as on the importance of the Strait of Malacca. Eventually there will be a short chapter on the energy security aspects of territorial disputes on the South China Sea.</w:t>
      </w:r>
      <w:r>
        <w:rPr>
          <w:color w:val="000000"/>
          <w:sz w:val="24"/>
          <w:szCs w:val="24"/>
        </w:rPr>
        <w:br/>
        <w:t xml:space="preserve">I will end the essay with the search of possible alternatives, in which I will introduce the potential solutions to decrease dependence.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23827">
    <w:multiLevelType w:val="hybridMultilevel"/>
    <w:lvl w:ilvl="0" w:tplc="67107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23827">
    <w:abstractNumId w:val="38723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568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