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ALBERT SZABÓ</w:t>
            </w:r>
          </w:p>
          <w:p w:rsidR="00C275A3" w:rsidRDefault="00A96AEC" w:rsidP="00C275A3">
            <w:pPr>
              <w:pStyle w:val="Hallgatokepzes"/>
            </w:pPr>
            <w:r>
              <w:t>Security and Defence Policy</w:t>
            </w:r>
            <w:r>
              <w:br/>
            </w:r>
            <w:r w:rsidR="00E77B23">
              <w:t>BSc, 6.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Csiki</w:t>
            </w:r>
          </w:p>
          <w:p w:rsidR="00DB4822" w:rsidRDefault="00DB4822" w:rsidP="009763E0">
            <w:pPr>
              <w:pStyle w:val="Konzulensektitulus"/>
            </w:pPr>
            <w:r w:rsidRPr="00DB4822">
              <w:t>Research Fellow,  Center for Strategic and Defence Studies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Fiscal and strategic forecast for the U.S. sequestration process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Based on the lessons learnt and experience drawn from current U.S. strategic forecast and defense planning practices the paper introduces (i) the fiscal debate going on in the United States, (ii) U.S. strategic perceptions and (iii) U.S. force structure plans for 2014 and 2015. First, U.S. strategic documents get under scrutiny, offering a comprehensive overview of the effects of fiscal constraints on the strategic priorities and sudden ‘adjustments’ in national defense policies. Second, an explanation of the overall U.S. fiscal debate follows that provides the framework for a restructured defense budget. The central question of the paper is the financial sustainability of the defense budget, therefore the reasons for and the processes of sequestration, as well as its consequences are elaborated upon. By comparing the defense budgets of recent years, the ‘adjustments’ initiated by the Pentagon are highlighted. Accordingly, the measures undertaken by the Obama Administration’s defense ministers have to be examined, pointing out those modernization and procurement programs that have thus been delayed or canceled. In the end the paper provides a detailed analysis and thorough assessment of the procurement and modernization programs for the approved FY 2014 and FY 2015 defense budget. In addition to these, the gradual shift in U.S. strategic focus that appears as a consequence of strengthening fiscal constraints and the resultant uncertainty in defense planning, as well as the changing U.S. international level of ambition will be discussed throughout the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54609">
    <w:multiLevelType w:val="hybridMultilevel"/>
    <w:lvl w:ilvl="0" w:tplc="59405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54609">
    <w:abstractNumId w:val="451546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783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