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IMRE HTJ.</w:t>
            </w:r>
          </w:p>
          <w:p w:rsidR="00C275A3" w:rsidRDefault="00A96AEC" w:rsidP="00C275A3">
            <w:pPr>
              <w:pStyle w:val="Hallgatokepzes"/>
            </w:pPr>
            <w:r>
              <w:t>Katonai vezető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István alez.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Vadászfegyverek alkalmazásának lehetőségei fegyveres konfliktusban és háborúban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ismertessem a vadászfegyverek fejlődését, szerepét és alkalmazási módjait, az 1848-49-es szabadságharctól kezdve napjainkig. Továbbá, felhívni a figyelmet arra, hogy ezeket a lőfegyvereket kezelő civilek és katonák, a hatásos és szokatlan harceljárásokat többek között a vadászatok során szerzett tapasztalataikból is merítették. Ezeket alkalmazva, demoralizálták az ellenséget és képesek voltak nagyobb mértékű veszteséget okozni nekik.</w:t>
      </w:r>
      <w:r>
        <w:rPr>
          <w:color w:val="000000"/>
          <w:sz w:val="24"/>
          <w:szCs w:val="24"/>
        </w:rPr>
        <w:br/>
        <w:t xml:space="preserve">A vadászfegyvereket és az ezekhez használt lőszereket a könnyű hozzáférhetőségük miatt, a szabadcsapatok, a paramilitáris erők, partizánok és a gerillák felfegyverzésére alkalmazták. Ezek a fegyverek bár nem képviselnek (képviseltek) nagy tűzerőt, - hisz a rendeltetésszerű használatnál nincs is rá szükség – helyesen alkalmazva mégis képesek felvenni a versenyt a rendszeresített fegyverekkel.</w:t>
      </w:r>
      <w:r>
        <w:rPr>
          <w:color w:val="000000"/>
          <w:sz w:val="24"/>
          <w:szCs w:val="24"/>
        </w:rPr>
        <w:br/>
        <w:t xml:space="preserve">Reményeim szerint sikerül rávilágítanom a Magyarországon civil kézben lévő fegyverek, lőszerek és egyéb eszközök pozitív és negatív felhasználási lehetőségeire, a téma fontosságára, aktualitására.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59821">
    <w:multiLevelType w:val="hybridMultilevel"/>
    <w:lvl w:ilvl="0" w:tplc="95864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59821">
    <w:abstractNumId w:val="389598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6936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