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ENIKŐ</w:t>
            </w:r>
          </w:p>
          <w:p w:rsidR="00C275A3" w:rsidRDefault="00A96AEC" w:rsidP="00C275A3">
            <w:pPr>
              <w:pStyle w:val="Hallgatokepzes"/>
            </w:pPr>
            <w:r>
              <w:t>Katonai gazdálkodási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Finda Anna alez.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Honvédelmi Minisztérium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afrikai szerepvállalás jelentősége napjainkban - fókuszban a mali misszió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legszegényebb államok egyikeként Mali gazdasága a fejlődő országokra jellemző jegyeket mutat; földrajzi adottságain kívül hátrányos helyzetet generál a fejletlen infrastruktúra, valamint a korrupció elhatalmasodása is. Mindez, a társadalmi és politikai megosztottsággal párosulva az ország stabilitásának megingásához vezetett, amelyet az állam vezetése képtelen volt kezelni. Emellett a térségben megerősödő radikális iszlamista törekvések és a mali haderő képességbeli hiányosságai is hozzájárultak a tuareg felkelésből kibontakozó válsághoz.</w:t>
      </w:r>
      <w:r>
        <w:rPr>
          <w:color w:val="000000"/>
          <w:sz w:val="24"/>
          <w:szCs w:val="24"/>
        </w:rPr>
        <w:br/>
        <w:t xml:space="preserve">Az alapszituáció felvázolása után, a második fejezetben megjelenítem két vezető hatalom, Franciaország – a régi afrikai gyarmattartó állam – és az Amerikai Egyesült Államok – a globális nagyhatalom – mali missziós szerepvállalását is befolyásoló Afrika-politikáját, valamint a missziók országonkénti hátterét is ismertetem. Kiemelem Franciaországnak – mint a mali válság kezelésében vezető szerepet vállaló államnak – a beavatkozáshoz fűződő kül- és belpolitikai érdekeit is. Mindez hozzájárul annak megértéséhez is, hogy az egyes országok, illetve a hozzájuk erősen kötődő nemzetközi szervezetek miért az adott módon jártak el a Mali válság kapcsán. A fejezet célja egyúttal az is, hogy a figyelmet Afrika jelentőségére, az izgalmas változásokra és az eltérő stratégiák alkalmazására vonja.</w:t>
      </w:r>
      <w:r>
        <w:rPr>
          <w:color w:val="000000"/>
          <w:sz w:val="24"/>
          <w:szCs w:val="24"/>
        </w:rPr>
        <w:br/>
        <w:t xml:space="preserve">Ezt követően bemutatom a Maliban történt nemzetközi beavatkozást és a létesített missziókat, műveleteket. Az ECOWAS, az ENSZ, az Európai Unió és a Franciaország által tett vállalások esetében is főként a pénzügyi-gazdasági aspektusokat emelem ki.</w:t>
      </w:r>
      <w:r>
        <w:rPr>
          <w:color w:val="000000"/>
          <w:sz w:val="24"/>
          <w:szCs w:val="24"/>
        </w:rPr>
        <w:br/>
        <w:t xml:space="preserve">A nemzetközi környezetben való elhelyezés után, pályamunkám végén térek rá Magyarország Maliban történő szerepvállalására, amelynél a hangsúlyt a költségvetési területre és a pénzügyi feladatok gyakorlati megvalósítására helyezem.</w:t>
      </w:r>
      <w:r>
        <w:rPr>
          <w:color w:val="000000"/>
          <w:sz w:val="24"/>
          <w:szCs w:val="24"/>
        </w:rPr>
        <w:br/>
        <w:t xml:space="preserve">A dolgozat utolsó szakaszában a Magyar Honvédség Maliban végzett feladatainak globális térbe történő illesztésével a jövőbe kívánok tekinteni. Megvizsgálásra kerül az is, hogy a jelenleg érvényben lévő tervek alapján milyen további lehetőségekkel számolhat a Honvédség Afrikában, illetve ezen keresztül – a katonai szempontokon túl – milyen előnyökhöz juthat a magyar állami és versenyszféra.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86228">
    <w:multiLevelType w:val="hybridMultilevel"/>
    <w:lvl w:ilvl="0" w:tplc="89085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86228">
    <w:abstractNumId w:val="81186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26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