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MARTINKOVICS, 2NDLT.</w:t>
            </w:r>
          </w:p>
          <w:p w:rsidR="00C275A3" w:rsidRDefault="00A96AEC" w:rsidP="00C275A3">
            <w:pPr>
              <w:pStyle w:val="Hallgatokepzes"/>
            </w:pPr>
            <w:r>
              <w:t>Military and safety Technology engineering specialisation</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Gajdos, 2ndLt.</w:t>
            </w:r>
          </w:p>
          <w:p w:rsidR="00DB4822" w:rsidRDefault="00DB4822" w:rsidP="00E11062">
            <w:pPr>
              <w:pStyle w:val="Konzulensek"/>
            </w:pPr>
            <w:r w:rsidRPr="00DB4822">
              <w:t>instructor,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changes in the NATO air power competencies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Like any military organization, NATO air power must also adapt to new challenges. Because the Air Force is one of the most expensive military branches, the current economic situation, which affects almost every aspect of the modern world, makes the transformation more difficult. That is why the preservation and the development of competencies and features, to perform its duties, became important. An extremely important task is to improve the efficiency of the developable areas in order to maintain the dominant role between military branches.</w:t>
      </w:r>
      <w:r>
        <w:rPr>
          <w:color w:val="000000"/>
          <w:sz w:val="24"/>
          <w:szCs w:val="24"/>
        </w:rPr>
        <w:br/>
        <w:t xml:space="preserve">The thesis discusses the capabilities of the air power, their applicability, sustainability and possible directions of development. Illustrates the different possibilities through the experiences gained in the present armed conflicts. Examines the potential changes, according to the specific requirements of present days battlefield, in the independent and joint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51655">
    <w:multiLevelType w:val="hybridMultilevel"/>
    <w:lvl w:ilvl="0" w:tplc="65358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51655">
    <w:abstractNumId w:val="43651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435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