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SZABÓNÉ MIKLA</w:t>
            </w:r>
          </w:p>
          <w:p w:rsidR="00C275A3" w:rsidRDefault="00A96AEC" w:rsidP="00C275A3">
            <w:pPr>
              <w:pStyle w:val="Hallgatokepzes"/>
            </w:pPr>
            <w:r>
              <w:t>Library and Information Science</w:t>
            </w:r>
            <w:r>
              <w:br/>
            </w:r>
            <w:r w:rsidR="00E77B23">
              <w:t>MA, 4.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Murányi PhD</w:t>
            </w:r>
          </w:p>
          <w:p w:rsidR="00DB4822" w:rsidRDefault="00DB4822" w:rsidP="00E11062">
            <w:pPr>
              <w:pStyle w:val="Konzulensek"/>
            </w:pPr>
            <w:r w:rsidRPr="00DB4822">
              <w:t>university associate professor,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situation and future of libraries in Zala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library system is the largest institutionalized cultural system in Hungary, which is capable of mediating the national body of knowledge for most people. It is present not only in the big cities</w:t>
      </w:r>
      <w:r>
        <w:rPr>
          <w:color w:val="000000"/>
          <w:sz w:val="24"/>
          <w:szCs w:val="24"/>
        </w:rPr>
        <w:br/>
        <w:t xml:space="preserve">but in most of the smallest villages as well.</w:t>
      </w:r>
    </w:p>
    <w:p>
      <w:pPr>
        <w:widowControl w:val="on"/>
        <w:pBdr/>
        <w:spacing w:before="240" w:after="240" w:line="240" w:lineRule="auto"/>
        <w:ind w:left="0" w:right="0"/>
        <w:jc w:val="left"/>
      </w:pPr>
      <w:r>
        <w:rPr>
          <w:color w:val="000000"/>
          <w:sz w:val="24"/>
          <w:szCs w:val="24"/>
        </w:rPr>
        <w:br/>
        <w:t xml:space="preserve">In Zala county the library supply of small settlements has significantly changed in the past 50 years due to the influence of social, educational, technological and other factors. This has had an effect on the demands of both users and staff towards libraries. In this paper I describe the Library Service System in Zala county, its changes, legal background and problems. I also examine the efficiency of the system and the development opportunities in the next few years. When determining the framework of the examination, besides studying specialist literature on the topic, I rely on the Hungarian version of the PULMAN Digital Guidelines (2003), published by the Library Institute. By analysing the statistical data between 2005-2013, I try to find the answer to the following question: was the spending of the high amount of state support available since 2005 efficient? Can the library supply of small settlements be solved? Has the form of service and financing followed the change in demand strictly? Are there any forward-thinking plans for the next few years? What do the leaders of county and town libraries think of all of this? </w:t>
      </w:r>
    </w:p>
    <w:p>
      <w:pPr>
        <w:widowControl w:val="on"/>
        <w:pBdr/>
        <w:spacing w:before="240" w:after="240" w:line="240" w:lineRule="auto"/>
        <w:ind w:left="0" w:right="0"/>
        <w:jc w:val="left"/>
      </w:pPr>
      <w:r>
        <w:rPr>
          <w:color w:val="000000"/>
          <w:sz w:val="24"/>
          <w:szCs w:val="24"/>
        </w:rPr>
        <w:t xml:space="preserve">As it is shown in the interviews with leading librarians in Zala county, there is still a lot to do when it comes to the library supply of small settlements. Enhancing the importance of county libraries has unanimously been described as a significant step. The extent of its success cannot yet be determined unequivocally after only a year; however, it is clear that a process has started which is expected to result in real improvement.</w:t>
      </w:r>
      <w:r>
        <w:rPr>
          <w:color w:val="000000"/>
          <w:sz w:val="24"/>
          <w:szCs w:val="24"/>
        </w:rPr>
        <w:br/>
        <w:t xml:space="preserve">The efficient spending of state funds resulted in a significant increase in the use of services, but the local authorities of larger villages still cannot meet the legal regulations in many cases.</w:t>
      </w:r>
    </w:p>
    <w:p>
      <w:pPr>
        <w:widowControl w:val="on"/>
        <w:pBdr/>
        <w:spacing w:before="240" w:after="240" w:line="240" w:lineRule="auto"/>
        <w:ind w:left="0" w:right="0"/>
        <w:jc w:val="left"/>
      </w:pPr>
      <w:r>
        <w:rPr>
          <w:color w:val="000000"/>
          <w:sz w:val="24"/>
          <w:szCs w:val="24"/>
        </w:rPr>
        <w:br/>
        <w:t xml:space="preserve">Further research is needed to determine whether the settlements in Zala county are capable of meeting extant regulatory standards or else a push for modified legislation is necessary. A further concern is whether a system that meets the needs of all the parties could be set up even if it were to differ significantly from the ones that operate in the rest of the country, at least to the extent that the features of Zala county differ from those of other regions.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46553">
    <w:multiLevelType w:val="hybridMultilevel"/>
    <w:lvl w:ilvl="0" w:tplc="81440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46553">
    <w:abstractNumId w:val="608465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50874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