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BOSKOV MARINA</w:t>
            </w:r>
          </w:p>
          <w:p w:rsidR="00C275A3" w:rsidRDefault="00A96AEC" w:rsidP="00C275A3">
            <w:pPr>
              <w:pStyle w:val="Hallgatokepzes"/>
            </w:pPr>
            <w:r>
              <w:t>Nemzetközi igazgatás</w:t>
            </w:r>
            <w:r>
              <w:br/>
            </w:r>
            <w:r w:rsidR="00E77B23">
              <w:t>BA, 6.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Raffai Katalin</w:t>
            </w:r>
          </w:p>
          <w:p w:rsidR="00DB4822" w:rsidRDefault="00DB4822" w:rsidP="00E11062">
            <w:pPr>
              <w:pStyle w:val="Konzulensek"/>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emberi jogok védelmének nemzetközi magánjogi vetületei - az Európai Unió Bírósága és az Emberi Jogok Európai Bírósága döntéseinek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alapvető emberi jogok hosszú történelmi folyamatok során alakultak ki, kezdetben ez egy közjogi kategória volt, mely tény az emberi jogok természetéből fakadt. Ez a megközelítés azon alapul, hogy e jogok jelentős része állami kötelezettségeket jelentettek és védelmükhöz államközi jogvédelmi mechanizmusok kiépítésére volt szükség. Napjainkban a jogágak közti határok kezdenek elmosódni és egyre többször találkozunk az emberi jogokra való hivatkozással nemzetközi magánjogi tényállások során is. Véleményem szerint ennek fő okai közt találhatjuk, egyrészt az emberi jogok listájának egyre szélesebb körű bővülését, másrészt az államok közrendi klauzulára való hivatkozását, harmadrészt pedig az Európai Uniós jogalkotás kiterjedését, melynek során az uniós normák nagy befolyással vannak az egyébként tagállami hatáskörbe tartozó kérdésekre is többek közt ezen a csatornán keresztül. A dolgozatom folyamán szeretném megvizsgálni, hogy milyen és mekkora szerep jut az alapvető emberi jogoknak a nemzetközi magánjogban, végignézve, hogy milyen esetekben találkozhatunk a rájuk való hivatkozással. Mindezt a régiónkban két legfontosabb emberi jogi fórum, az Európai Unió Bíróságának illetve az Emberi Jogok Európai Bíróságának döntéseinek tükrében vizsgálom.</w:t>
      </w:r>
      <w:r>
        <w:rPr>
          <w:color w:val="000000"/>
          <w:sz w:val="24"/>
          <w:szCs w:val="24"/>
        </w:rPr>
        <w:br/>
        <w:t xml:space="preserve">A nemzetközi magánjog fő feladata és jelentősége abban rejlik, hogy a különböző nemzeti jogrendszereket koordinálja és összeegyeztesse nemzetközi elemmel, illetve elemekkel rendelkező magánjogi kollíziós tényállások esetében. Így sarkalatos kérdés nemzetközi magánjogi ügyek esetében az eljáró fórum és az alkalmazandó jog kiválasztása, kapcsolóelvek segítségével. Ugyanakkor, mint ismertetett példáimból látható, sokszor módosulhat a kollíziós szabályok által felhívott jogrendszer, például abban az esetben, ha egy megengedőbb nemzeti joggal találkozunk nemzetközi magánjogi tényállás esetén, mely alapvető emberi jogi kapcsolódásra mutat rá, akkor függetlenül attól, hogy a kapcsolóelvek akár a másik állam (korlátozóbb) jogrendszerét jelölik ki, az emberi jogi alapjogvédelem prioritása miatt a korlátozóbb jogrendszert mellőzheti a fórum.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02370">
    <w:multiLevelType w:val="hybridMultilevel"/>
    <w:lvl w:ilvl="0" w:tplc="34440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02370">
    <w:abstractNumId w:val="410023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178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