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BEZSENYI</w:t>
            </w:r>
          </w:p>
          <w:p w:rsidR="00C275A3" w:rsidRDefault="00A96AEC" w:rsidP="00C275A3">
            <w:pPr>
              <w:pStyle w:val="Hallgatokepzes"/>
            </w:pPr>
            <w:r>
              <w:t>Criminology</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Miklós Lévay CsC</w:t>
            </w:r>
          </w:p>
          <w:p w:rsidR="00DB4822" w:rsidRDefault="00DB4822" w:rsidP="009763E0">
            <w:pPr>
              <w:pStyle w:val="Konzulensektitulus"/>
            </w:pPr>
            <w:r w:rsidRPr="00DB4822">
              <w:t>university professor, leader of the Criminology Department,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Organised crime from the viewpoint of the regime change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Hungarian administration of justice trialed some of the most famous murder cases of the 1990’s which were contract killing between organized crime groups. These trials brought up many new information about the life of organized crime gangs and given a better opportunity to criminologist to understand the recent activity of the organized crime gangs. I focus on how organized crime successfully survived the crisis of the regime change. The following research based on a tight cooperation with Pest County Police Headquarters where I analyzed criminal files about organized crime gangs after the regime change. The main question of the research was: what sociological and economical factors contributed to the strengthening of organized crime in Hungary? Where can we discover the responsibility of the state? How state regulation affected organized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69447">
    <w:multiLevelType w:val="hybridMultilevel"/>
    <w:lvl w:ilvl="0" w:tplc="81893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69447">
    <w:abstractNumId w:val="46369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414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