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BENIGNA HAVASI</w:t>
            </w:r>
          </w:p>
          <w:p w:rsidR="00C275A3" w:rsidRDefault="00A96AEC" w:rsidP="00C275A3">
            <w:pPr>
              <w:pStyle w:val="Hallgatokepzes"/>
            </w:pPr>
            <w:r>
              <w:t>Political Science</w:t>
            </w:r>
            <w:r>
              <w:br/>
            </w:r>
            <w:r w:rsidR="00E77B23">
              <w:t>BA, 4.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Halmai, Dr.</w:t>
            </w:r>
          </w:p>
          <w:p w:rsidR="00DB4822" w:rsidRDefault="00DB4822" w:rsidP="00E11062">
            <w:pPr>
              <w:pStyle w:val="Konzulensek"/>
            </w:pPr>
            <w:r w:rsidRPr="00DB4822">
              <w:t>professor, ELTE TÁTK</w:t>
            </w:r>
          </w:p>
        </w:tc>
      </w:tr>
      <w:tr w:rsidR="00DB4822" w:rsidTr="00DB4822">
        <w:tc>
          <w:tcPr>
            <w:tcW w:w="9854" w:type="dxa"/>
          </w:tcPr>
          <w:p w:rsidR="00DB4822" w:rsidRPr="00DB4822" w:rsidRDefault="00DB4822" w:rsidP="004D7940">
            <w:pPr>
              <w:pStyle w:val="Konzulensek"/>
            </w:pPr>
            <w:r w:rsidRPr="00DB4822">
              <w:t>Richárd Franczel, dr.</w:t>
            </w:r>
          </w:p>
          <w:p w:rsidR="00DB4822" w:rsidRDefault="00DB4822" w:rsidP="00E11062">
            <w:pPr>
              <w:pStyle w:val="Konzulensek"/>
            </w:pPr>
            <w:r w:rsidRPr="00DB4822">
              <w:t>PhD,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Constitutional Regulation of the Hunagrian and German Chancellor Democracy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the paper is to compare the constitutional regulation of the hunagrian and german chancellor democracy, and to prove that the hungarian and the german constitution shows many parallels regarding the regulation of the governmentalism. </w:t>
      </w:r>
    </w:p>
    <w:p>
      <w:pPr>
        <w:widowControl w:val="on"/>
        <w:pBdr/>
        <w:spacing w:before="240" w:after="240" w:line="240" w:lineRule="auto"/>
        <w:ind w:left="0" w:right="0"/>
        <w:jc w:val="left"/>
      </w:pPr>
      <w:r>
        <w:rPr>
          <w:color w:val="000000"/>
          <w:sz w:val="24"/>
          <w:szCs w:val="24"/>
        </w:rPr>
        <w:t xml:space="preserve">It combines the elements of descriptive and comparative methodologies, and it emphasis the description of the chancellor demokracy’s elements.</w:t>
      </w:r>
    </w:p>
    <w:p>
      <w:pPr>
        <w:widowControl w:val="on"/>
        <w:pBdr/>
        <w:spacing w:before="240" w:after="240" w:line="240" w:lineRule="auto"/>
        <w:ind w:left="0" w:right="0"/>
        <w:jc w:val="left"/>
      </w:pPr>
      <w:r>
        <w:rPr>
          <w:color w:val="000000"/>
          <w:sz w:val="24"/>
          <w:szCs w:val="24"/>
        </w:rPr>
        <w:t xml:space="preserve">The introduction sets the concerning rules and laws to the Hungarian Governemnt, the institutional structure and background of the chancellor democracy and eventually the confidence motion. After that the essay discusses the formation and consolidation of the hungarian chancellor democracy by the introduction of the motion of no confidence, by the Act LVII of 2006 and at last by the changes made by the Constitution of 2011.The third chapter details the three main principles of the chancellor democracy – principle of departmental responsibility, chancellor principle and corporate principle. The study also analyze the enforcement of these principles in the hungarian and german constitutional law. It concludes that in both countries the most dominant principles of the three is the chancellor principle.This conclusion is supported by the folowing section. It describes the main priority of the head of government’s position, and it want to prove, that „the Prime Minister has his goverment, and not the goverment has its Prime Minister.”In the course of the analyzing of the formation of a goverment, the appointment of the deputy prime minister, the control of the goverment, the right of decree and the confidence motion the study concludes the dominance of the executive power within the head of government. In the development of this dominance contributed the german Chancellery and at home the Prime Minister’s Office. The presentation of this process has taken place at the fifth chapter.The last two chapters deal with the institute of the vote of confidence and the motion of no confidence. After the comparison of the two regulations the paper examines three constitutional cases – the resign of Prime Minister Péter Medgyessy, the motion of no confidence against the second Gyurcsány goverment and a vote of confidence against Gerhard Schröder.</w:t>
      </w:r>
    </w:p>
    <w:p>
      <w:pPr>
        <w:widowControl w:val="on"/>
        <w:pBdr/>
        <w:spacing w:before="240" w:after="240" w:line="240" w:lineRule="auto"/>
        <w:ind w:left="0" w:right="0"/>
        <w:jc w:val="left"/>
      </w:pPr>
      <w:r>
        <w:rPr>
          <w:color w:val="000000"/>
          <w:sz w:val="24"/>
          <w:szCs w:val="24"/>
        </w:rPr>
        <w:t xml:space="preserve">In summary, the paper addresses its main results and coclusions, respectively feature a general picture of the constitutional regulation of the main parts of the hunagrian and german chancellor democracy.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64325">
    <w:multiLevelType w:val="hybridMultilevel"/>
    <w:lvl w:ilvl="0" w:tplc="58863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64325">
    <w:abstractNumId w:val="29464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773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