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MARTONOS ATTILA</w:t>
            </w:r>
          </w:p>
          <w:p w:rsidR="00C275A3" w:rsidRDefault="00A96AEC" w:rsidP="00C275A3">
            <w:pPr>
              <w:pStyle w:val="Hallgatokepzes"/>
            </w:pPr>
            <w:r>
              <w:t>Általános Orvosi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Marosvásárhelyi Orvosi és Gyógyszerészeti Egyetem</w:t>
            </w:r>
            <w:r w:rsidR="00C275A3">
              <w:br/>
            </w:r>
            <w:r w:rsidR="00DB4822">
              <w:t>Orvosi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Emőke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MOGYE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Liliana Chira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MOGYE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Citológia-szövettan korreláció: az ASC (atípusos hámsejtek) diagnózisa, mint a PAP-kenet értékelésének szürke zónája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szürke-zóna megnevezés a patológiában olyan elváltozásokat jellemez, melynek nincs pontos szövettani megfelelője. Tartalmazhat elváltozásokat melyek függetlenek az onkogenitású HPV-től, azonban a cervikális intraepitheliális neoplázia jelenléte sem kizárható. Ennek következtében a klinikusok sokszor a klinikai managementek számos lehetőségéből kell válasszanak a helyes terápia érdekében.</w:t>
      </w:r>
      <w:r>
        <w:rPr>
          <w:color w:val="000000"/>
          <w:sz w:val="24"/>
          <w:szCs w:val="24"/>
        </w:rPr>
        <w:br/>
        <w:t xml:space="preserve">Célkitűzés</w:t>
      </w:r>
      <w:r>
        <w:rPr>
          <w:color w:val="000000"/>
          <w:sz w:val="24"/>
          <w:szCs w:val="24"/>
        </w:rPr>
        <w:br/>
        <w:t xml:space="preserve">A Bethesda Rendszerben elfogadott, a nem meghatározott jelentőségű atípusos hámsejtek jelenléte (ASC-US) és az atípusos hámsejtek, melyeknek jelenléte nem zárja ki a HSIL-t (ASC-H) szürke zónának minősülő kategóriák hibalehetőségeinek vizsgálata,a citológiák statisztikai elemzése,a TBS ajánlásaival való összehasonlítása, ugyanakkor jó lehetőség volt egy belső minőségi kontrollra.</w:t>
      </w:r>
      <w:r>
        <w:rPr>
          <w:color w:val="000000"/>
          <w:sz w:val="24"/>
          <w:szCs w:val="24"/>
        </w:rPr>
        <w:br/>
        <w:t xml:space="preserve">Anyag és módszer</w:t>
      </w:r>
      <w:r>
        <w:rPr>
          <w:color w:val="000000"/>
          <w:sz w:val="24"/>
          <w:szCs w:val="24"/>
        </w:rPr>
        <w:br/>
        <w:t xml:space="preserve">9959 cervix-citológia ASC-US és ASC-H eredményének értékelése a nekik megfelelő biopsziás minta szövettani diagnózisának tükrében.</w:t>
      </w:r>
      <w:r>
        <w:rPr>
          <w:color w:val="000000"/>
          <w:sz w:val="24"/>
          <w:szCs w:val="24"/>
        </w:rPr>
        <w:br/>
        <w:t xml:space="preserve">Eredmények</w:t>
      </w:r>
      <w:r>
        <w:rPr>
          <w:color w:val="000000"/>
          <w:sz w:val="24"/>
          <w:szCs w:val="24"/>
        </w:rPr>
        <w:br/>
        <w:t xml:space="preserve">Kazuisztikánkbab az ASC-US diagnózisa az esetek 6,90 %-ban, míg az ASC-H az esetek 3,45%-ban volt jelen . A citológia-hisztológia korreláció ASC-US esetében 127 esetben volt értékelhető: az esetek 69,3%-a szövettani vizsgálat során negatívnak bizonyult, ellenben 21,25%-ban CIN I, míg 7,08%-ban CIN II és CIN III igazolódott. Egy esetben (0,78%) az ASC-US invaziv carcinomát takart. A 166, ASC-H nak megfelelő biopszia 56,02%-a nem mutatott displáziát, 19,27%-a CIN I-nek, 21,68%-a CIN II és CIN III-nak bizonyult. Invaziv daganat egy esetben (0,6%) fordult elő.</w:t>
      </w:r>
      <w:r>
        <w:rPr>
          <w:color w:val="000000"/>
          <w:sz w:val="24"/>
          <w:szCs w:val="24"/>
        </w:rPr>
        <w:br/>
        <w:t xml:space="preserve">Következtetések:</w:t>
      </w:r>
      <w:r>
        <w:rPr>
          <w:color w:val="000000"/>
          <w:sz w:val="24"/>
          <w:szCs w:val="24"/>
        </w:rPr>
        <w:br/>
        <w:t xml:space="preserve">Az ASC-US és ASC-H diagnózisa számos hibalehetőséget rejt magában, melyeket lehetetlen kiküszöbölni. A citológia-szövettan korreláció azt mutatja, hogy az ASC-ot tartalmazó pozitiv lelet nem garantálja a lézió jelenlétét még ASC-H esetén sem, ahol a hibalehetőségek közül az akut gyulladás, illetve az atrófia által okozott reaktiv atípiát nehéz elhatárolni a valódi atípiától.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598116">
    <w:multiLevelType w:val="hybridMultilevel"/>
    <w:lvl w:ilvl="0" w:tplc="245843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598116">
    <w:abstractNumId w:val="965981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6513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