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MARTONOS</w:t>
            </w:r>
          </w:p>
          <w:p w:rsidR="00C275A3" w:rsidRDefault="00A96AEC" w:rsidP="00C275A3">
            <w:pPr>
              <w:pStyle w:val="Hallgatokepzes"/>
            </w:pPr>
            <w:r>
              <w:t>General Medicine</w:t>
            </w:r>
            <w:r>
              <w:br/>
            </w:r>
            <w:r w:rsidR="00E77B23">
              <w:t>BSc, 9. semester</w:t>
            </w:r>
          </w:p>
          <w:p w:rsidR="00C265CE" w:rsidRPr="009E5FF1" w:rsidRDefault="00E77B23" w:rsidP="009763E0">
            <w:pPr>
              <w:pStyle w:val="Hallgatointezmeny-kar"/>
              <w:rPr>
                <w:b/>
                <w:caps/>
              </w:rPr>
            </w:pPr>
            <w:r>
              <w:t>University of Medicine and Pharmacy Targu Mures</w:t>
            </w:r>
            <w:r w:rsidR="00C275A3">
              <w:br/>
            </w:r>
            <w:r w:rsidR="00DB4822">
              <w:t>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Emőke Horváth</w:t>
            </w:r>
          </w:p>
          <w:p w:rsidR="00DB4822" w:rsidRDefault="00DB4822" w:rsidP="009763E0">
            <w:pPr>
              <w:pStyle w:val="Konzulensektitulus"/>
            </w:pPr>
            <w:r w:rsidRPr="00DB4822">
              <w:t>assistant professor, MOGYE</w:t>
            </w:r>
          </w:p>
        </w:tc>
      </w:tr>
      <w:tr w:rsidR="00DB4822" w:rsidTr="00DB4822">
        <w:tc>
          <w:tcPr>
            <w:tcW w:w="9854" w:type="dxa"/>
          </w:tcPr>
          <w:p w:rsidR="00DB4822" w:rsidRPr="00DB4822" w:rsidRDefault="00DB4822" w:rsidP="009763E0">
            <w:pPr>
              <w:pStyle w:val="Konzulenseknev"/>
            </w:pPr>
            <w:r w:rsidRPr="00DB4822">
              <w:t>Dr. Liliana Chira</w:t>
            </w:r>
          </w:p>
          <w:p w:rsidR="00DB4822" w:rsidRDefault="00DB4822" w:rsidP="009763E0">
            <w:pPr>
              <w:pStyle w:val="Konzulensektitulus"/>
            </w:pPr>
            <w:r w:rsidRPr="00DB4822">
              <w:t>profesor's assistant,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Diagnosis of ASC (atypical squamous cells) representing the gray area of Pap smear results interpretation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gray area in Pathology represents changes that lack a characteristic histological equivalent. It may contain changes that are not relateable to the oncogenic HPV but in some cases the presence of cervical intraepithelial neoplasia can not be excluded. Due to this, doctors must choose the suitable therapy from a multitude of clinical management possibilities.</w:t>
      </w:r>
      <w:r>
        <w:rPr>
          <w:color w:val="000000"/>
          <w:sz w:val="24"/>
          <w:szCs w:val="24"/>
        </w:rPr>
        <w:br/>
        <w:t xml:space="preserve">Objectives</w:t>
      </w:r>
      <w:r>
        <w:rPr>
          <w:color w:val="000000"/>
          <w:sz w:val="24"/>
          <w:szCs w:val="24"/>
        </w:rPr>
        <w:br/>
        <w:t xml:space="preserve">Identifying the possible errors when diagnosing Atypical Squamous Cells of Undetermined Significance (ASC-US) and Atypical Squamous Cells cannot exclude H-SIL ( ASC-H) which are included in the Bethesda System, the statistical analysis of the citologies, comparing them with the Bethesda System database, also the quality control of our laboratories.</w:t>
      </w:r>
      <w:r>
        <w:rPr>
          <w:color w:val="000000"/>
          <w:sz w:val="24"/>
          <w:szCs w:val="24"/>
        </w:rPr>
        <w:br/>
        <w:t xml:space="preserve">Material and methods</w:t>
      </w:r>
      <w:r>
        <w:rPr>
          <w:color w:val="000000"/>
          <w:sz w:val="24"/>
          <w:szCs w:val="24"/>
        </w:rPr>
        <w:br/>
        <w:t xml:space="preserve">Studying ASC-US and ASC-H samples of 9959 cervix citologies in comparison with their biopsied histological findings.</w:t>
      </w:r>
      <w:r>
        <w:rPr>
          <w:color w:val="000000"/>
          <w:sz w:val="24"/>
          <w:szCs w:val="24"/>
        </w:rPr>
        <w:br/>
        <w:t xml:space="preserve">Results</w:t>
      </w:r>
      <w:r>
        <w:rPr>
          <w:color w:val="000000"/>
          <w:sz w:val="24"/>
          <w:szCs w:val="24"/>
        </w:rPr>
        <w:br/>
        <w:t xml:space="preserve">ASC-US was present in 6,90% and ASC-H in 3,45% of our cases. The citology-biopsy correlation was analysed in 127 cases regarding ASC-US: 69,3% of the biopsies confirmed negative histological findings, although 21,25% proved to be CIN I and 7,08% to be CIN II-III. In one particular case (0,78%) the ASC-US citology correlated with invasive carcinoma. Regarding the 166 biopsies which had ASC-H as citology, 56,02% had no malignant changes, 19,27% was CIN I and 21,68% proved to be CIN II-III. Invasive carcinoma was present in one case (0,6%).</w:t>
      </w:r>
      <w:r>
        <w:rPr>
          <w:color w:val="000000"/>
          <w:sz w:val="24"/>
          <w:szCs w:val="24"/>
        </w:rPr>
        <w:br/>
        <w:t xml:space="preserve">Conclusions</w:t>
      </w:r>
      <w:r>
        <w:rPr>
          <w:color w:val="000000"/>
          <w:sz w:val="24"/>
          <w:szCs w:val="24"/>
        </w:rPr>
        <w:br/>
        <w:t xml:space="preserve">The diagnosis of ASC-US and ASC-H contain a high number of errors, that can not be excluded. The citology-biopsy correlation shows that the sample diagnosed as ASC does not neccesarrily contain malignant changes, not even in the case of ASC-H, where the errors are particurarly high when acute infection and atrophy are present. A doctor is aimed to have a more broad spectrum when seeing this citologycal finding and he should differentiate to exclude any other changes than real atypia.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5924">
    <w:multiLevelType w:val="hybridMultilevel"/>
    <w:lvl w:ilvl="0" w:tplc="9793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5924">
    <w:abstractNumId w:val="28945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662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