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LANCSÁK, TIBOR</w:t>
            </w:r>
          </w:p>
          <w:p w:rsidR="00C275A3" w:rsidRDefault="00A96AEC" w:rsidP="00C275A3">
            <w:pPr>
              <w:pStyle w:val="Hallgatokepzes"/>
            </w:pPr>
            <w:r>
              <w:t>Communication and Media Science BA</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Jablonczay, Tímea, Phd</w:t>
            </w:r>
          </w:p>
          <w:p w:rsidR="00DB4822" w:rsidRDefault="00DB4822" w:rsidP="00E11062">
            <w:pPr>
              <w:pStyle w:val="Konzulensek"/>
            </w:pPr>
            <w:r w:rsidRPr="00DB4822">
              <w:t>college associate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Performativity in Gender Politics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examines the theory of performativity applied to signifiers in the field of gender politics.</w:t>
      </w:r>
      <w:r>
        <w:rPr>
          <w:color w:val="000000"/>
          <w:sz w:val="24"/>
          <w:szCs w:val="24"/>
        </w:rPr>
        <w:br/>
        <w:t xml:space="preserve">By a secondary research that involves documents of the European Commission, statistical indicators of Eurostat as well as survey and focus group research reports of the European Parliament, this inquiry is looking for the connection between the implementation of the gender strategy on EU level and the destruction of gender stereotypes on the level of member states. The consequence of such a connection will be a possible replacement of the gender stereotypes by new concepts based</w:t>
      </w:r>
      <w:r>
        <w:rPr>
          <w:color w:val="000000"/>
          <w:sz w:val="24"/>
          <w:szCs w:val="24"/>
        </w:rPr>
        <w:br/>
        <w:t xml:space="preserve">on equality.</w:t>
      </w:r>
    </w:p>
    <w:p>
      <w:pPr>
        <w:widowControl w:val="on"/>
        <w:pBdr/>
        <w:spacing w:before="240" w:after="240" w:line="240" w:lineRule="auto"/>
        <w:ind w:left="0" w:right="0"/>
        <w:jc w:val="left"/>
      </w:pPr>
      <w:r>
        <w:rPr>
          <w:color w:val="000000"/>
          <w:sz w:val="24"/>
          <w:szCs w:val="24"/>
        </w:rPr>
        <w:t xml:space="preserve">The disciplinary basis of this study is the theory of performativity by Judith Butler, applied to Slavoj Zizek's understanding of the political signifier. Power is able to control the discourse by showing and hiding concepts there, based on his preference. To be in line with the political aims and targets, these concepts are continuously updated by power. The process of variation gives a chance to rewrite the phallogocentric concepts with new concepts that are based on equality.</w:t>
      </w:r>
    </w:p>
    <w:p>
      <w:pPr>
        <w:widowControl w:val="on"/>
        <w:pBdr/>
        <w:spacing w:before="240" w:after="240" w:line="240" w:lineRule="auto"/>
        <w:ind w:left="0" w:right="0"/>
        <w:jc w:val="left"/>
      </w:pPr>
      <w:r>
        <w:rPr>
          <w:color w:val="000000"/>
          <w:sz w:val="24"/>
          <w:szCs w:val="24"/>
        </w:rPr>
        <w:t xml:space="preserve">Following Zizek's theory, the keywords of the EU-level gender strategy are empty signifiers. In six different geographical area of the EU, I review the national reform programs of Austria, Greece, Italy, Poland, Sweden and Hungary to find an evidence that the EU strategy has an effect on the norms of the member state in the field of employment, income differences and education. The central strategy remains in focus to prove that local concepts are rewritten due to the fact that the empty signifier is kept in the discourse. I will also review some of the Europe 2020 indicators that will possibly prove this connection.</w:t>
      </w:r>
    </w:p>
    <w:p>
      <w:pPr>
        <w:widowControl w:val="on"/>
        <w:pBdr/>
        <w:spacing w:before="240" w:after="240" w:line="240" w:lineRule="auto"/>
        <w:ind w:left="0" w:right="0"/>
        <w:jc w:val="left"/>
      </w:pPr>
      <w:r>
        <w:rPr>
          <w:color w:val="000000"/>
          <w:sz w:val="24"/>
          <w:szCs w:val="24"/>
        </w:rPr>
        <w:t xml:space="preserve">A secondary research of the EP study will help to answer some questions: how social media helps the EU strategy to involve more women into politics and so to rewrite phallogocentrism in the political field; is there any chance to destruct phallogocentrism in the off-line media; how women use the on-line political space, what are their motivations; what are women's impressions about the on-line activity of politicians and how they understand their own on-line activity. Based on another EP study, I will review some new media projects that support the involvement of women into politics. These on-line projects will show us, how norms are rewritten and how performativity works in the on-line political space.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10109">
    <w:multiLevelType w:val="hybridMultilevel"/>
    <w:lvl w:ilvl="0" w:tplc="69245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10109">
    <w:abstractNumId w:val="35310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365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