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TASNÁDI</w:t>
            </w:r>
          </w:p>
          <w:p w:rsidR="00C275A3" w:rsidRDefault="00A96AEC" w:rsidP="00C275A3">
            <w:pPr>
              <w:pStyle w:val="Hallgatokepzes"/>
            </w:pPr>
            <w:r>
              <w:t>Sculptor</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Sass</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Earth &amp; Sky, The Word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Szandra Katalin Tasnádi</w:t>
      </w:r>
      <w:r>
        <w:rPr>
          <w:color w:val="000000"/>
          <w:sz w:val="24"/>
          <w:szCs w:val="24"/>
        </w:rPr>
        <w:br/>
        <w:t xml:space="preserve">Hungarian University of Fine Arts</w:t>
      </w:r>
      <w:r>
        <w:rPr>
          <w:color w:val="000000"/>
          <w:sz w:val="24"/>
          <w:szCs w:val="24"/>
        </w:rPr>
        <w:br/>
        <w:t xml:space="preserve">Sculptor faculty, year III.</w:t>
      </w:r>
    </w:p>
    <w:p>
      <w:pPr>
        <w:widowControl w:val="on"/>
        <w:pBdr/>
        <w:spacing w:before="240" w:after="240" w:line="240" w:lineRule="auto"/>
        <w:ind w:left="0" w:right="0"/>
        <w:jc w:val="left"/>
      </w:pPr>
      <w:r>
        <w:rPr>
          <w:color w:val="000000"/>
          <w:sz w:val="24"/>
          <w:szCs w:val="24"/>
        </w:rPr>
        <w:t xml:space="preserve">Names of the works</w:t>
      </w:r>
    </w:p>
    <w:p>
      <w:pPr>
        <w:widowControl w:val="on"/>
        <w:pBdr/>
        <w:spacing w:before="240" w:after="240" w:line="240" w:lineRule="auto"/>
        <w:ind w:left="0" w:right="0"/>
        <w:jc w:val="left"/>
      </w:pPr>
      <w:r>
        <w:rPr>
          <w:color w:val="000000"/>
          <w:sz w:val="24"/>
          <w:szCs w:val="24"/>
        </w:rPr>
        <w:t xml:space="preserve">Battle of Earth and Sky</w:t>
      </w:r>
    </w:p>
    <w:p>
      <w:pPr>
        <w:widowControl w:val="on"/>
        <w:pBdr/>
        <w:spacing w:before="240" w:after="240" w:line="240" w:lineRule="auto"/>
        <w:ind w:left="0" w:right="0"/>
        <w:jc w:val="left"/>
      </w:pPr>
      <w:r>
        <w:rPr>
          <w:color w:val="000000"/>
          <w:sz w:val="24"/>
          <w:szCs w:val="24"/>
        </w:rPr>
        <w:t xml:space="preserve">The Word</w:t>
      </w:r>
    </w:p>
    <w:p>
      <w:pPr>
        <w:widowControl w:val="on"/>
        <w:pBdr/>
        <w:spacing w:before="240" w:after="240" w:line="240" w:lineRule="auto"/>
        <w:ind w:left="0" w:right="0"/>
        <w:jc w:val="left"/>
      </w:pPr>
      <w:r>
        <w:rPr>
          <w:color w:val="000000"/>
          <w:sz w:val="24"/>
          <w:szCs w:val="24"/>
        </w:rPr>
        <w:t xml:space="preserve">The God</w:t>
      </w:r>
    </w:p>
    <w:p>
      <w:pPr>
        <w:widowControl w:val="on"/>
        <w:pBdr/>
        <w:spacing w:before="240" w:after="240" w:line="240" w:lineRule="auto"/>
        <w:ind w:left="0" w:right="0"/>
        <w:jc w:val="left"/>
      </w:pPr>
      <w:r>
        <w:rPr>
          <w:color w:val="000000"/>
          <w:sz w:val="24"/>
          <w:szCs w:val="24"/>
        </w:rPr>
        <w:t xml:space="preserve">Supervisor(s)</w:t>
      </w:r>
    </w:p>
    <w:p>
      <w:pPr>
        <w:widowControl w:val="on"/>
        <w:pBdr/>
        <w:spacing w:before="240" w:after="240" w:line="240" w:lineRule="auto"/>
        <w:ind w:left="0" w:right="0"/>
        <w:jc w:val="left"/>
      </w:pPr>
      <w:r>
        <w:rPr>
          <w:color w:val="000000"/>
          <w:sz w:val="24"/>
          <w:szCs w:val="24"/>
        </w:rPr>
        <w:t xml:space="preserve">Dr. habil DLA Valéria Sass Sculptor</w:t>
      </w:r>
    </w:p>
    <w:p>
      <w:pPr>
        <w:widowControl w:val="on"/>
        <w:pBdr/>
        <w:spacing w:before="240" w:after="240" w:line="240" w:lineRule="auto"/>
        <w:ind w:left="0" w:right="0"/>
        <w:jc w:val="left"/>
      </w:pPr>
      <w:r>
        <w:rPr>
          <w:color w:val="000000"/>
          <w:sz w:val="24"/>
          <w:szCs w:val="24"/>
        </w:rPr>
        <w:t xml:space="preserve">Ádám Szabó Sculptor</w:t>
      </w:r>
    </w:p>
    <w:p>
      <w:pPr>
        <w:widowControl w:val="on"/>
        <w:pBdr/>
        <w:spacing w:before="240" w:after="240" w:line="240" w:lineRule="auto"/>
        <w:ind w:left="0" w:right="0"/>
        <w:jc w:val="left"/>
      </w:pPr>
      <w:r>
        <w:rPr>
          <w:color w:val="000000"/>
          <w:sz w:val="24"/>
          <w:szCs w:val="24"/>
        </w:rPr>
        <w:t xml:space="preserve">Conception</w:t>
      </w:r>
    </w:p>
    <w:p>
      <w:pPr>
        <w:widowControl w:val="on"/>
        <w:pBdr/>
        <w:spacing w:before="240" w:after="240" w:line="240" w:lineRule="auto"/>
        <w:ind w:left="0" w:right="0"/>
        <w:jc w:val="left"/>
      </w:pPr>
      <w:r>
        <w:rPr>
          <w:color w:val="000000"/>
          <w:sz w:val="24"/>
          <w:szCs w:val="24"/>
        </w:rPr>
        <w:t xml:space="preserve">The christial theological works of Viktor Pelevin reacted me during reading his books. I got the inspiration for my work from the book „Empire ’V’- Narration of real superior man”.</w:t>
      </w:r>
      <w:r>
        <w:rPr>
          <w:color w:val="000000"/>
          <w:sz w:val="24"/>
          <w:szCs w:val="24"/>
        </w:rPr>
        <w:br/>
        <w:t xml:space="preserve">My work is theological. I wanted to make a work what is teological, and just takes up questions, doesn’t give answeres! It highlightes the subjective side of religion.</w:t>
      </w:r>
    </w:p>
    <w:p>
      <w:pPr>
        <w:widowControl w:val="on"/>
        <w:pBdr/>
        <w:spacing w:before="240" w:after="240" w:line="240" w:lineRule="auto"/>
        <w:ind w:left="0" w:right="0"/>
        <w:jc w:val="left"/>
      </w:pPr>
      <w:r>
        <w:rPr>
          <w:color w:val="000000"/>
          <w:sz w:val="24"/>
          <w:szCs w:val="24"/>
        </w:rPr>
        <w:t xml:space="preserve">I personally believe that we have to adore the human creator strenght in every God of mankind. I believe the Gods of mankind are exists by the faith of human.</w:t>
      </w:r>
    </w:p>
    <w:p>
      <w:pPr>
        <w:widowControl w:val="on"/>
        <w:pBdr/>
        <w:spacing w:before="240" w:after="240" w:line="240" w:lineRule="auto"/>
        <w:ind w:left="0" w:right="0"/>
        <w:jc w:val="left"/>
      </w:pPr>
      <w:r>
        <w:rPr>
          <w:color w:val="000000"/>
          <w:sz w:val="24"/>
          <w:szCs w:val="24"/>
        </w:rPr>
        <w:t xml:space="preserve">The pieces of the series approach the relationship of God and Human from three several sideways. I made a series. Each part of the series started off from a common conception.</w:t>
      </w:r>
      <w:r>
        <w:rPr>
          <w:color w:val="000000"/>
          <w:sz w:val="24"/>
          <w:szCs w:val="24"/>
        </w:rPr>
        <w:br/>
        <w:t xml:space="preserve">The series consist of similar elements in the way of material and form.</w:t>
      </w:r>
    </w:p>
    <w:p>
      <w:pPr>
        <w:widowControl w:val="on"/>
        <w:pBdr/>
        <w:spacing w:before="240" w:after="240" w:line="240" w:lineRule="auto"/>
        <w:ind w:left="0" w:right="0"/>
        <w:jc w:val="left"/>
      </w:pPr>
      <w:r>
        <w:rPr>
          <w:color w:val="000000"/>
          <w:sz w:val="24"/>
          <w:szCs w:val="24"/>
        </w:rPr>
        <w:t xml:space="preserve">The „Battle of Earth and Sky” draw attention to human subjectivity and the relationship of human and Godlike sphere. Which is important? It depends on the point of view of the person who watches it. Its about choice, you can make. You can choose between them.</w:t>
      </w:r>
    </w:p>
    <w:p>
      <w:pPr>
        <w:widowControl w:val="on"/>
        <w:pBdr/>
        <w:spacing w:before="240" w:after="240" w:line="240" w:lineRule="auto"/>
        <w:ind w:left="0" w:right="0"/>
        <w:jc w:val="left"/>
      </w:pPr>
      <w:r>
        <w:rPr>
          <w:color w:val="000000"/>
          <w:sz w:val="24"/>
          <w:szCs w:val="24"/>
        </w:rPr>
        <w:t xml:space="preserve">„The Word”- „In the beginning the Word already existed. The Word was with God, and the Word was God.” In my work people can interpret just the reflected words int he mirror, which means the interpretation of the transcendent feeling into Human language.</w:t>
      </w:r>
    </w:p>
    <w:p>
      <w:pPr>
        <w:widowControl w:val="on"/>
        <w:pBdr/>
        <w:spacing w:before="240" w:after="240" w:line="240" w:lineRule="auto"/>
        <w:ind w:left="0" w:right="0"/>
        <w:jc w:val="left"/>
      </w:pPr>
      <w:r>
        <w:rPr>
          <w:color w:val="000000"/>
          <w:sz w:val="24"/>
          <w:szCs w:val="24"/>
        </w:rPr>
        <w:t xml:space="preserve">„The God” has got simple but strong visual idea. From the mixed English word of GOD, you can see two words. Dog and God. In the trouble of association, which to read and which to understand, there is just one thing that you can see clearly in the mirror: Yourself, the human.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90781">
    <w:multiLevelType w:val="hybridMultilevel"/>
    <w:lvl w:ilvl="0" w:tplc="1544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90781">
    <w:abstractNumId w:val="59590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936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