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MIHALY HAJNACS</w:t>
            </w:r>
          </w:p>
          <w:p w:rsidR="00C275A3" w:rsidRDefault="00A96AEC" w:rsidP="00C275A3">
            <w:pPr>
              <w:pStyle w:val="Hallgatokepzes"/>
            </w:pPr>
            <w:r>
              <w:t>Art-Arthistory</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Kamilla Szíj</w:t>
            </w:r>
          </w:p>
          <w:p w:rsidR="00DB4822" w:rsidRDefault="00DB4822" w:rsidP="00E11062">
            <w:pPr>
              <w:pStyle w:val="Konzulensek"/>
            </w:pPr>
            <w:r w:rsidRPr="00DB4822">
              <w: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More perspective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More perspective</w:t>
      </w:r>
    </w:p>
    <w:p>
      <w:pPr>
        <w:widowControl w:val="on"/>
        <w:pBdr/>
        <w:spacing w:before="240" w:after="240" w:line="240" w:lineRule="auto"/>
        <w:ind w:left="0" w:right="0"/>
        <w:jc w:val="left"/>
      </w:pPr>
      <w:r>
        <w:rPr>
          <w:color w:val="000000"/>
          <w:sz w:val="24"/>
          <w:szCs w:val="24"/>
        </w:rPr>
        <w:t xml:space="preserve">This is an experimental solution works with two different techniques, but that is the same representation. It includes the characteristics of the two techniques (soft base, Aquatint and linocut) advantages and disadvantages. The soul is quite an interesting phenomenon. There is a self that we know, but perhaps no other. Sometimes it may seem, but mostly just for ourselves, we know their hidden thoughts. Perhaps this may seem self has two pairs of struggle, when we visit my job. The wood sample solution was originally derived from a drawing, which I developed over time. Totem-like effect will thus become little heroes like a litle mystic. A little lonely, helplessly floating in the ether. They dwell on what can be done with them right.</w:t>
      </w:r>
      <w:r>
        <w:rPr>
          <w:color w:val="000000"/>
          <w:sz w:val="24"/>
          <w:szCs w:val="24"/>
        </w:rPr>
        <w:br/>
        <w:t xml:space="preserve">The plates are cut to shape, I would have little to break out of the usual rectangular copper or linoleum utilization. The plate was a little soft ground aquatint, on average, has been cut from the lino.</w:t>
      </w:r>
      <w:r>
        <w:rPr>
          <w:color w:val="000000"/>
          <w:sz w:val="24"/>
          <w:szCs w:val="24"/>
        </w:rPr>
        <w:br/>
        <w:br/>
        <w:t xml:space="preserve">Mihaly Hajnacs</w:t>
      </w:r>
      <w:r>
        <w:rPr>
          <w:color w:val="000000"/>
          <w:position w:val="0"/>
          <w:sz w:val="24"/>
          <w:szCs w:val="24"/>
        </w:rPr>
        <w:drawing>
          <wp:inline distT="0" distB="0" distL="0" distR="0">
            <wp:extent cx="2880000" cy="0"/>
            <wp:docPr id="22875398" name="name1547f9323f0221" descr="imgtmp_30273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0273_int_1.gif"/>
                    <pic:cNvPicPr/>
                  </pic:nvPicPr>
                  <pic:blipFill>
                    <a:blip r:embed="rId1547f9323f01c6" cstate="print"/>
                    <a:stretch>
                      <a:fillRect/>
                    </a:stretch>
                  </pic:blipFill>
                  <pic:spPr>
                    <a:xfrm>
                      <a:off x="0" y="0"/>
                      <a:ext cx="2880000" cy="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19207">
    <w:multiLevelType w:val="hybridMultilevel"/>
    <w:lvl w:ilvl="0" w:tplc="93062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19207">
    <w:abstractNumId w:val="980192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9112476" Type="http://schemas.openxmlformats.org/officeDocument/2006/relationships/numbering" Target="numbering.xml"/><Relationship Id="rId1547f9323f01c6" Type="http://schemas.openxmlformats.org/officeDocument/2006/relationships/image" Target="media/imgrId1547f9323f01c6.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