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KOSZTANDI</w:t>
            </w:r>
          </w:p>
          <w:p w:rsidR="00C275A3" w:rsidRDefault="00A96AEC" w:rsidP="00C275A3">
            <w:pPr>
              <w:pStyle w:val="Hallgatokepzes"/>
            </w:pPr>
            <w:r>
              <w:t>architectural stained glass</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Keve Kovács</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Layers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course of my work I inspired from the synthesis of geometric, structured and built environment, and the organic natural forms around it. I tried to make some compositions in which the ordered and disordered, the angled and wavy, the geometric and organic visual elements are harmonically completing each other. Particularly, the interaction between the built environment and the organic nature really excited my imagination.</w:t>
      </w:r>
      <w:r>
        <w:rPr>
          <w:color w:val="000000"/>
          <w:sz w:val="24"/>
          <w:szCs w:val="24"/>
        </w:rPr>
        <w:br/>
        <w:t xml:space="preserve">Hard-soft, thick-thin, rectangular-round, straight-curve, transparency-cover, organic-geometric, drill-down, natural-industrial: I guess these opposite attributes tells the most about the two painted, laminated and sandblasted stained glass compositions. They may function as internal partitions.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05728">
    <w:multiLevelType w:val="hybridMultilevel"/>
    <w:lvl w:ilvl="0" w:tplc="76892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05728">
    <w:abstractNumId w:val="998057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31577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