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JOHANNA SZEKRÉNYES</w:t>
            </w:r>
          </w:p>
          <w:p w:rsidR="00C275A3" w:rsidRDefault="00A96AEC" w:rsidP="00C275A3">
            <w:pPr>
              <w:pStyle w:val="Hallgatokepzes"/>
            </w:pPr>
            <w:r>
              <w:t>Law</w:t>
            </w:r>
            <w:r>
              <w:br/>
            </w:r>
            <w:r w:rsidR="00E77B23">
              <w:t>BA, 6. semester</w:t>
            </w:r>
          </w:p>
          <w:p w:rsidR="00C265CE" w:rsidRPr="009E5FF1" w:rsidRDefault="00E77B23" w:rsidP="00C275A3">
            <w:pPr>
              <w:pStyle w:val="Hallgatokepzes"/>
              <w:rPr>
                <w:b/>
                <w:caps/>
              </w:rPr>
            </w:pPr>
            <w:r>
              <w:t>SAPIENTIA Hungarian University of Transylvania</w:t>
            </w:r>
            <w:r w:rsidR="00C275A3">
              <w:br/>
            </w:r>
            <w:r w:rsidR="00DB4822">
              <w:t>Faculty of Sciences and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Sztranyiczki</w:t>
            </w:r>
          </w:p>
          <w:p w:rsidR="00DB4822" w:rsidRDefault="00DB4822" w:rsidP="00E11062">
            <w:pPr>
              <w:pStyle w:val="Konzulensek"/>
            </w:pPr>
            <w:r w:rsidRPr="00DB4822">
              <w:t>assistant profesor,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historical changes of the principle of unpredictability in the jurisprudence of Romania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aims to describe those possibilities and solutions that apply for the contract-signing partners in the case of an unpredictable event. It analyzes and discusses the possibilities through which the partners can reduce their economic loss in order to be able to fulfill their obligations under the new conditions. The New Civil Code regulates the legal background of the principle of unpredictability, its main goal being to resolve those situations in which one of the partners (as a result of some unseen change) faces some impractical impositions that cannot be fulfilled. After its validation, the legal system of unpredictability became a compulsory part of the jurisprudence so that it can be conditioned explicitly. This wasn’t the case before, although the legal system of unpredictability had existed in the past, but only a theoretical level, the jurisprudence was very confusing and by no means unitary. The thesis also presents the historical part of these changes, analyzing the acceptability and the rejection of the principle in several judgmental decisions from different historical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74911">
    <w:multiLevelType w:val="hybridMultilevel"/>
    <w:lvl w:ilvl="0" w:tplc="31165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74911">
    <w:abstractNumId w:val="70674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396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