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PRÁZSMÁRI HUNOR</w:t>
            </w:r>
          </w:p>
          <w:p w:rsidR="00C275A3" w:rsidRDefault="00A96AEC" w:rsidP="00C275A3">
            <w:pPr>
              <w:pStyle w:val="Hallgatokepzes"/>
            </w:pPr>
            <w:r>
              <w:t>Szárazföldi és vízi ökológia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 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László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Léptékfüggő-e a rózsacserjék aggregációja?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vadrózsákon megjelenő rózsagubacsokban előforduló hártyásszárnyú közösség modellként szolgálhat tájökológiai, evolúciós, epidemiológiai és a klímaváltozás biodiverzitásra gyakorolt hatásait elemző vizsgálatokban. A közösség fajainak vizsgálatához nélkülözhetetlen a megfelelő lépték kiválasztása a mintavételi kvadrátok méretének meghatározásához. Fontos szempont a lépték kiválasztásánál a közösséget alkotó fajok diszperziós távolságainak ismerete, azonban a gazdanövények térbeli eloszlása, mivel összefüggésben van a gubacsok gyakoriságával szintén kiemelkedő fontosságú. Vizsgálatomban a rózsacserjék eltérő léptékeken megfigyelt térbeli eloszlásának vizsgálatát tűztem ki célul. Az elemzésekhez összesen hat darab, egyenként egy hektáros területen fellelhető rózsacserje mintázatokat használtam. A térbeli eloszlást a léptékfüggőséget feltáró Ripley-féle K függvény segítségével határoztam meg az egy hektáros területeken, majd a vizsgálati kvadrátokat négy egyenlő részre osztva megismételtem az elemzést. Vizsgálati hipotézisem térbeli eloszlás változatlansága a két lépték (1/4 ha és 1 ha) függvényében. Eredményeim alapján alátámaszthatom a ¼ hektáros mintavételi kvadrátok használatának jogosultságát, amely megerősítheti a diszperziós távolságok alapján feltehető kvadrátméret alkalmasságát közösség-ökológiai vizsgálatainkhoz. A kutatás a TÁMOP 4.2.4.A/2-11-1-2012-0001</w:t>
      </w:r>
      <w:r>
        <w:rPr>
          <w:color w:val="000000"/>
          <w:sz w:val="24"/>
          <w:szCs w:val="24"/>
        </w:rPr>
        <w:br/>
        <w:t xml:space="preserve">Nemzeti Kiválóság Program című kiemelt projekt keretében zajlott (pályázati azonosító: A2-</w:t>
      </w:r>
      <w:r>
        <w:rPr>
          <w:color w:val="000000"/>
          <w:sz w:val="24"/>
          <w:szCs w:val="24"/>
        </w:rPr>
        <w:br/>
        <w:t xml:space="preserve">CT-HTKH-13-0003). A projekt az Európai Unió támogatásával, az Európai Szociális Alap társfinanszírozásával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79913">
    <w:multiLevelType w:val="hybridMultilevel"/>
    <w:lvl w:ilvl="0" w:tplc="29961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79913">
    <w:abstractNumId w:val="190799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754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