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PRÁZSMÁRI</w:t>
            </w:r>
          </w:p>
          <w:p w:rsidR="00C275A3" w:rsidRDefault="00A96AEC" w:rsidP="00C275A3">
            <w:pPr>
              <w:pStyle w:val="Hallgatokepzes"/>
            </w:pPr>
            <w:r>
              <w:t>Terrestrial and water ecology</w:t>
            </w:r>
            <w:r>
              <w:br/>
            </w:r>
            <w:r w:rsidR="00E77B23">
              <w:t>MSc, 2. semester</w:t>
            </w:r>
          </w:p>
          <w:p w:rsidR="00C265CE" w:rsidRPr="009E5FF1" w:rsidRDefault="00E77B23" w:rsidP="00C275A3">
            <w:pPr>
              <w:pStyle w:val="Hallgatokepzes"/>
              <w:rPr>
                <w:b/>
                <w:caps/>
              </w:rPr>
            </w:pPr>
            <w:r>
              <w:t>Babeș-Bolyai University</w:t>
            </w:r>
            <w:r w:rsidR="00C275A3">
              <w:br/>
            </w:r>
            <w:r w:rsidR="00DB4822">
              <w:t>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dr.Zoltán Lázsló</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aggregation of wild rose shrubs scale dependent?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dipteral community appearing on wilde rose shrub can bee used as a model system in studies in landscape ecology, epidemiology and in studies about the effect of climate change on biodiversity. . Before we start studding the members of this community it’s essential to determine the optimal scale end the optimal quadrat size. In the process of determining the optimal scale we need to know the distance of dispersion of this species. In this process it’s also important to know the spatial distribution of the host plant because the spatial distribution of host plants has a great influence on the frequency of galls. In this study I compared the spatial distribution of rose shrubs on different scales. I studied the distribution of rose shrub on 6 one ha study arias. I used Ripley's k function to determinate the point patterns in the 6 one ha study areas, afterwards I divided each of this eras in 4 (1/4 ha) subareas and determined the spatial distribution of the rose shrub yet a gen. The results show that the use of the ¼ ha quadrats is legit in the case of community ecology.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15348">
    <w:multiLevelType w:val="hybridMultilevel"/>
    <w:lvl w:ilvl="0" w:tplc="87032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15348">
    <w:abstractNumId w:val="32915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492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